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322" w:rsidRDefault="009A13F0">
      <w:pPr>
        <w:widowControl/>
        <w:jc w:val="center"/>
        <w:rPr>
          <w:rFonts w:ascii="仿宋" w:eastAsia="仿宋" w:hAnsi="仿宋" w:cs="KRKTNL+»ªÎÄÖÐËÎ"/>
          <w:b/>
          <w:sz w:val="28"/>
          <w:szCs w:val="28"/>
        </w:rPr>
      </w:pPr>
      <w:r>
        <w:rPr>
          <w:rFonts w:ascii="仿宋" w:eastAsia="仿宋" w:hAnsi="仿宋" w:cs="KRKTNL+»ªÎÄÖÐËÎ" w:hint="eastAsia"/>
          <w:b/>
          <w:sz w:val="28"/>
          <w:szCs w:val="28"/>
        </w:rPr>
        <w:t>首创证券股份有限公司</w:t>
      </w:r>
    </w:p>
    <w:p w:rsidR="00395322" w:rsidRDefault="009A13F0">
      <w:pPr>
        <w:widowControl/>
        <w:jc w:val="center"/>
        <w:rPr>
          <w:rFonts w:ascii="仿宋" w:eastAsia="仿宋" w:hAnsi="仿宋" w:cs="KRKTNL+»ªÎÄÖÐËÎ"/>
          <w:b/>
          <w:sz w:val="28"/>
          <w:szCs w:val="28"/>
        </w:rPr>
      </w:pPr>
      <w:r>
        <w:rPr>
          <w:rFonts w:ascii="仿宋" w:eastAsia="仿宋" w:hAnsi="仿宋" w:cs="KRKTNL+»ªÎÄÖÐËÎ" w:hint="eastAsia"/>
          <w:b/>
          <w:sz w:val="28"/>
          <w:szCs w:val="28"/>
        </w:rPr>
        <w:t>向不特定对象发行的可转换公司债</w:t>
      </w:r>
      <w:proofErr w:type="gramStart"/>
      <w:r>
        <w:rPr>
          <w:rFonts w:ascii="仿宋" w:eastAsia="仿宋" w:hAnsi="仿宋" w:cs="KRKTNL+»ªÎÄÖÐËÎ" w:hint="eastAsia"/>
          <w:b/>
          <w:sz w:val="28"/>
          <w:szCs w:val="28"/>
        </w:rPr>
        <w:t>券</w:t>
      </w:r>
      <w:proofErr w:type="gramEnd"/>
      <w:r>
        <w:rPr>
          <w:rFonts w:ascii="仿宋" w:eastAsia="仿宋" w:hAnsi="仿宋" w:cs="KRKTNL+»ªÎÄÖÐËÎ" w:hint="eastAsia"/>
          <w:b/>
          <w:sz w:val="28"/>
          <w:szCs w:val="28"/>
        </w:rPr>
        <w:t>投资风险揭示书</w:t>
      </w:r>
    </w:p>
    <w:p w:rsidR="00395322" w:rsidRDefault="009A13F0">
      <w:pPr>
        <w:pStyle w:val="a3"/>
        <w:spacing w:line="328" w:lineRule="auto"/>
        <w:ind w:left="0" w:right="436" w:firstLine="0"/>
        <w:rPr>
          <w:spacing w:val="-4"/>
          <w:sz w:val="24"/>
          <w:szCs w:val="24"/>
        </w:rPr>
      </w:pPr>
      <w:r>
        <w:rPr>
          <w:rFonts w:hint="eastAsia"/>
          <w:spacing w:val="-4"/>
          <w:sz w:val="24"/>
          <w:szCs w:val="24"/>
        </w:rPr>
        <w:t>尊敬的投资者：</w:t>
      </w:r>
    </w:p>
    <w:p w:rsidR="00395322" w:rsidRDefault="009A13F0">
      <w:pPr>
        <w:pStyle w:val="a3"/>
        <w:spacing w:line="328" w:lineRule="auto"/>
        <w:ind w:right="436" w:firstLineChars="200" w:firstLine="464"/>
        <w:rPr>
          <w:spacing w:val="-4"/>
          <w:sz w:val="24"/>
          <w:szCs w:val="24"/>
        </w:rPr>
      </w:pPr>
      <w:r>
        <w:rPr>
          <w:rFonts w:hint="eastAsia"/>
          <w:spacing w:val="-4"/>
          <w:sz w:val="24"/>
          <w:szCs w:val="24"/>
        </w:rPr>
        <w:t>证券交易所上市公司向不特定对象发行的可转换公司债</w:t>
      </w:r>
      <w:proofErr w:type="gramStart"/>
      <w:r>
        <w:rPr>
          <w:rFonts w:hint="eastAsia"/>
          <w:spacing w:val="-4"/>
          <w:sz w:val="24"/>
          <w:szCs w:val="24"/>
        </w:rPr>
        <w:t>券</w:t>
      </w:r>
      <w:proofErr w:type="gramEnd"/>
      <w:r>
        <w:rPr>
          <w:rFonts w:hint="eastAsia"/>
          <w:spacing w:val="-4"/>
          <w:sz w:val="24"/>
          <w:szCs w:val="24"/>
        </w:rPr>
        <w:t>（以下简称可转债）具有其特有的风险，为了使您更好地了解可转债</w:t>
      </w:r>
      <w:r>
        <w:rPr>
          <w:spacing w:val="-4"/>
          <w:sz w:val="24"/>
          <w:szCs w:val="24"/>
        </w:rPr>
        <w:t>交易</w:t>
      </w:r>
      <w:r>
        <w:rPr>
          <w:rFonts w:hint="eastAsia"/>
          <w:spacing w:val="-4"/>
          <w:sz w:val="24"/>
          <w:szCs w:val="24"/>
        </w:rPr>
        <w:t>投资的基本知识和相关风险，根据有关</w:t>
      </w:r>
      <w:r>
        <w:rPr>
          <w:spacing w:val="-4"/>
          <w:sz w:val="24"/>
          <w:szCs w:val="24"/>
        </w:rPr>
        <w:t>法律、行政法规、部门规章、规范性文件（以下简称法律法规）</w:t>
      </w:r>
      <w:r>
        <w:rPr>
          <w:rFonts w:hint="eastAsia"/>
          <w:spacing w:val="-4"/>
          <w:sz w:val="24"/>
          <w:szCs w:val="24"/>
        </w:rPr>
        <w:t>及</w:t>
      </w:r>
      <w:r>
        <w:rPr>
          <w:rFonts w:hint="eastAsia"/>
          <w:spacing w:val="-4"/>
          <w:sz w:val="24"/>
          <w:szCs w:val="24"/>
          <w:lang w:val="en-US"/>
        </w:rPr>
        <w:t>交易</w:t>
      </w:r>
      <w:r>
        <w:rPr>
          <w:rFonts w:hint="eastAsia"/>
          <w:spacing w:val="-4"/>
          <w:sz w:val="24"/>
          <w:szCs w:val="24"/>
        </w:rPr>
        <w:t>所业务规则的规定，本公司特向您进行可转债</w:t>
      </w:r>
      <w:r>
        <w:rPr>
          <w:spacing w:val="-4"/>
          <w:sz w:val="24"/>
          <w:szCs w:val="24"/>
        </w:rPr>
        <w:t>交易</w:t>
      </w:r>
      <w:r>
        <w:rPr>
          <w:rFonts w:hint="eastAsia"/>
          <w:spacing w:val="-4"/>
          <w:sz w:val="24"/>
          <w:szCs w:val="24"/>
        </w:rPr>
        <w:t>相关</w:t>
      </w:r>
      <w:r>
        <w:rPr>
          <w:spacing w:val="-4"/>
          <w:sz w:val="24"/>
          <w:szCs w:val="24"/>
        </w:rPr>
        <w:t>风险揭示</w:t>
      </w:r>
      <w:r>
        <w:rPr>
          <w:rFonts w:hint="eastAsia"/>
          <w:spacing w:val="-4"/>
          <w:sz w:val="24"/>
          <w:szCs w:val="24"/>
        </w:rPr>
        <w:t>。</w:t>
      </w:r>
    </w:p>
    <w:p w:rsidR="00395322" w:rsidRDefault="009A13F0">
      <w:pPr>
        <w:pStyle w:val="a3"/>
        <w:spacing w:line="328" w:lineRule="auto"/>
        <w:ind w:right="436"/>
        <w:rPr>
          <w:spacing w:val="-4"/>
          <w:sz w:val="24"/>
          <w:szCs w:val="24"/>
        </w:rPr>
      </w:pPr>
      <w:proofErr w:type="gramStart"/>
      <w:r>
        <w:rPr>
          <w:spacing w:val="-4"/>
          <w:sz w:val="24"/>
          <w:szCs w:val="24"/>
        </w:rPr>
        <w:t>本风险</w:t>
      </w:r>
      <w:proofErr w:type="gramEnd"/>
      <w:r>
        <w:rPr>
          <w:spacing w:val="-4"/>
          <w:sz w:val="24"/>
          <w:szCs w:val="24"/>
        </w:rPr>
        <w:t>揭示书并不能揭示从事</w:t>
      </w:r>
      <w:r>
        <w:rPr>
          <w:rFonts w:hint="eastAsia"/>
          <w:spacing w:val="-4"/>
          <w:sz w:val="24"/>
          <w:szCs w:val="24"/>
        </w:rPr>
        <w:t>可转债</w:t>
      </w:r>
      <w:r>
        <w:rPr>
          <w:spacing w:val="-4"/>
          <w:sz w:val="24"/>
          <w:szCs w:val="24"/>
        </w:rPr>
        <w:t>交易的全部风险，您务必对此有清醒的认识，认真考虑是否参与</w:t>
      </w:r>
      <w:r>
        <w:rPr>
          <w:rFonts w:hint="eastAsia"/>
          <w:spacing w:val="-4"/>
          <w:sz w:val="24"/>
          <w:szCs w:val="24"/>
        </w:rPr>
        <w:t>可转债</w:t>
      </w:r>
      <w:r>
        <w:rPr>
          <w:spacing w:val="-4"/>
          <w:sz w:val="24"/>
          <w:szCs w:val="24"/>
        </w:rPr>
        <w:t>交易。当您决定参与</w:t>
      </w:r>
      <w:r>
        <w:rPr>
          <w:rFonts w:hint="eastAsia"/>
          <w:spacing w:val="-4"/>
          <w:sz w:val="24"/>
          <w:szCs w:val="24"/>
          <w:lang w:val="en-US"/>
        </w:rPr>
        <w:t>交易所</w:t>
      </w:r>
      <w:r>
        <w:rPr>
          <w:rFonts w:hint="eastAsia"/>
          <w:spacing w:val="-4"/>
          <w:sz w:val="24"/>
          <w:szCs w:val="24"/>
        </w:rPr>
        <w:t>可转债</w:t>
      </w:r>
      <w:r>
        <w:rPr>
          <w:spacing w:val="-4"/>
          <w:sz w:val="24"/>
          <w:szCs w:val="24"/>
        </w:rPr>
        <w:t>交易之前，请您务必认真阅读</w:t>
      </w:r>
      <w:r>
        <w:rPr>
          <w:rFonts w:hint="eastAsia"/>
          <w:spacing w:val="-4"/>
          <w:sz w:val="24"/>
          <w:szCs w:val="24"/>
        </w:rPr>
        <w:t>并了解以下风险：</w:t>
      </w:r>
    </w:p>
    <w:p w:rsidR="00395322" w:rsidRDefault="009A13F0">
      <w:pPr>
        <w:pStyle w:val="a3"/>
        <w:spacing w:line="328" w:lineRule="auto"/>
        <w:ind w:right="436"/>
        <w:rPr>
          <w:spacing w:val="-4"/>
          <w:sz w:val="24"/>
          <w:szCs w:val="24"/>
        </w:rPr>
      </w:pPr>
      <w:r>
        <w:rPr>
          <w:spacing w:val="-4"/>
          <w:sz w:val="24"/>
          <w:szCs w:val="24"/>
        </w:rPr>
        <w:t>一、《风险揭示书》所指可转债是指上市公司向不特定对象发行，并在一定期间内依据约定的条件可以转换成股票的公司债券。可转债作为一种具有多重性质的混合型融资工具，投资者应当关注其债券性、股权性、可转换性等特征。</w:t>
      </w:r>
    </w:p>
    <w:p w:rsidR="00395322" w:rsidRDefault="009A13F0">
      <w:pPr>
        <w:pStyle w:val="a3"/>
        <w:spacing w:line="328" w:lineRule="auto"/>
        <w:ind w:right="436"/>
        <w:rPr>
          <w:spacing w:val="-4"/>
          <w:sz w:val="24"/>
          <w:szCs w:val="24"/>
        </w:rPr>
      </w:pPr>
      <w:r>
        <w:rPr>
          <w:spacing w:val="-4"/>
          <w:sz w:val="24"/>
          <w:szCs w:val="24"/>
        </w:rPr>
        <w:t>二、网上投资者连续十二个月内累计出现三次网上申购</w:t>
      </w:r>
      <w:proofErr w:type="gramStart"/>
      <w:r>
        <w:rPr>
          <w:spacing w:val="-4"/>
          <w:sz w:val="24"/>
          <w:szCs w:val="24"/>
        </w:rPr>
        <w:t>中签但</w:t>
      </w:r>
      <w:proofErr w:type="gramEnd"/>
      <w:r>
        <w:rPr>
          <w:spacing w:val="-4"/>
          <w:sz w:val="24"/>
          <w:szCs w:val="24"/>
        </w:rPr>
        <w:t>未足额缴款的情形时，深圳证券交易所规定自结算参与人最近一次申报其放弃认购的次日起</w:t>
      </w:r>
      <w:r>
        <w:rPr>
          <w:rFonts w:hint="eastAsia"/>
          <w:spacing w:val="-4"/>
          <w:sz w:val="24"/>
          <w:szCs w:val="24"/>
        </w:rPr>
        <w:t>、</w:t>
      </w:r>
      <w:r>
        <w:rPr>
          <w:spacing w:val="-4"/>
          <w:sz w:val="24"/>
          <w:szCs w:val="24"/>
        </w:rPr>
        <w:t>上海证券交易所规定自中国结算上海分公司</w:t>
      </w:r>
      <w:proofErr w:type="gramStart"/>
      <w:r>
        <w:rPr>
          <w:spacing w:val="-4"/>
          <w:sz w:val="24"/>
          <w:szCs w:val="24"/>
        </w:rPr>
        <w:t>收到弃购申报</w:t>
      </w:r>
      <w:proofErr w:type="gramEnd"/>
      <w:r>
        <w:rPr>
          <w:spacing w:val="-4"/>
          <w:sz w:val="24"/>
          <w:szCs w:val="24"/>
        </w:rPr>
        <w:t>的次日起六个月（按一百八十个自然日计算，含次日）内不得参与网上新股、存托凭证</w:t>
      </w:r>
      <w:r>
        <w:rPr>
          <w:spacing w:val="-4"/>
          <w:sz w:val="24"/>
          <w:szCs w:val="24"/>
        </w:rPr>
        <w:t>、可转债、可交换公司</w:t>
      </w:r>
      <w:r>
        <w:rPr>
          <w:spacing w:val="-4"/>
          <w:sz w:val="24"/>
          <w:szCs w:val="24"/>
        </w:rPr>
        <w:t xml:space="preserve"> </w:t>
      </w:r>
      <w:r>
        <w:rPr>
          <w:spacing w:val="-4"/>
          <w:sz w:val="24"/>
          <w:szCs w:val="24"/>
        </w:rPr>
        <w:t>债券申购。放弃认购的次数按照投资者实际放弃认购的新股、存托凭证、可转债、可交换公司债券累计计算。</w:t>
      </w:r>
    </w:p>
    <w:p w:rsidR="00395322" w:rsidRDefault="009A13F0">
      <w:pPr>
        <w:pStyle w:val="a3"/>
        <w:spacing w:line="328" w:lineRule="auto"/>
        <w:ind w:right="436"/>
        <w:rPr>
          <w:spacing w:val="-4"/>
          <w:sz w:val="24"/>
          <w:szCs w:val="24"/>
        </w:rPr>
      </w:pPr>
      <w:r>
        <w:rPr>
          <w:spacing w:val="-4"/>
          <w:sz w:val="24"/>
          <w:szCs w:val="24"/>
        </w:rPr>
        <w:t>三、网下投资者应当结合行业监管要求、资产规模等合理确定申购金额，不得</w:t>
      </w:r>
      <w:proofErr w:type="gramStart"/>
      <w:r>
        <w:rPr>
          <w:spacing w:val="-4"/>
          <w:sz w:val="24"/>
          <w:szCs w:val="24"/>
        </w:rPr>
        <w:t>超资产</w:t>
      </w:r>
      <w:proofErr w:type="gramEnd"/>
      <w:r>
        <w:rPr>
          <w:spacing w:val="-4"/>
          <w:sz w:val="24"/>
          <w:szCs w:val="24"/>
        </w:rPr>
        <w:t>规模申购，承销商可以认定</w:t>
      </w:r>
      <w:proofErr w:type="gramStart"/>
      <w:r>
        <w:rPr>
          <w:spacing w:val="-4"/>
          <w:sz w:val="24"/>
          <w:szCs w:val="24"/>
        </w:rPr>
        <w:t>超资产</w:t>
      </w:r>
      <w:proofErr w:type="gramEnd"/>
      <w:r>
        <w:rPr>
          <w:spacing w:val="-4"/>
          <w:sz w:val="24"/>
          <w:szCs w:val="24"/>
        </w:rPr>
        <w:t>规模的申购为无效申购。</w:t>
      </w:r>
    </w:p>
    <w:p w:rsidR="00395322" w:rsidRDefault="009A13F0">
      <w:pPr>
        <w:pStyle w:val="a3"/>
        <w:spacing w:line="328" w:lineRule="auto"/>
        <w:ind w:right="436"/>
        <w:rPr>
          <w:spacing w:val="-4"/>
          <w:sz w:val="24"/>
          <w:szCs w:val="24"/>
        </w:rPr>
      </w:pPr>
      <w:r>
        <w:rPr>
          <w:spacing w:val="-4"/>
          <w:sz w:val="24"/>
          <w:szCs w:val="24"/>
        </w:rPr>
        <w:t>四、最近</w:t>
      </w:r>
      <w:proofErr w:type="gramStart"/>
      <w:r>
        <w:rPr>
          <w:spacing w:val="-4"/>
          <w:sz w:val="24"/>
          <w:szCs w:val="24"/>
        </w:rPr>
        <w:t>一</w:t>
      </w:r>
      <w:proofErr w:type="gramEnd"/>
      <w:r>
        <w:rPr>
          <w:spacing w:val="-4"/>
          <w:sz w:val="24"/>
          <w:szCs w:val="24"/>
        </w:rPr>
        <w:t>期末经审计的净资产不低于人民币十五亿元的上市公司发行的可转债、创业板上市公司发行的可转债，以及相关法律</w:t>
      </w:r>
      <w:r>
        <w:rPr>
          <w:rFonts w:hint="eastAsia"/>
          <w:spacing w:val="-4"/>
          <w:sz w:val="24"/>
          <w:szCs w:val="24"/>
        </w:rPr>
        <w:t>、</w:t>
      </w:r>
      <w:r>
        <w:rPr>
          <w:spacing w:val="-4"/>
          <w:sz w:val="24"/>
          <w:szCs w:val="24"/>
        </w:rPr>
        <w:t>行政法规</w:t>
      </w:r>
      <w:r>
        <w:rPr>
          <w:rFonts w:hint="eastAsia"/>
          <w:spacing w:val="-4"/>
          <w:sz w:val="24"/>
          <w:szCs w:val="24"/>
        </w:rPr>
        <w:t>、</w:t>
      </w:r>
      <w:r>
        <w:rPr>
          <w:spacing w:val="-4"/>
          <w:sz w:val="24"/>
          <w:szCs w:val="24"/>
        </w:rPr>
        <w:t>部</w:t>
      </w:r>
      <w:r>
        <w:rPr>
          <w:rFonts w:hint="eastAsia"/>
          <w:spacing w:val="-4"/>
          <w:sz w:val="24"/>
          <w:szCs w:val="24"/>
          <w:lang w:val="en-US"/>
        </w:rPr>
        <w:t>门</w:t>
      </w:r>
      <w:r>
        <w:rPr>
          <w:spacing w:val="-4"/>
          <w:sz w:val="24"/>
          <w:szCs w:val="24"/>
        </w:rPr>
        <w:t>规章</w:t>
      </w:r>
      <w:r>
        <w:rPr>
          <w:rFonts w:hint="eastAsia"/>
          <w:spacing w:val="-4"/>
          <w:sz w:val="24"/>
          <w:szCs w:val="24"/>
        </w:rPr>
        <w:t>、</w:t>
      </w:r>
      <w:r>
        <w:rPr>
          <w:spacing w:val="-4"/>
          <w:sz w:val="24"/>
          <w:szCs w:val="24"/>
        </w:rPr>
        <w:t>规范性文件</w:t>
      </w:r>
      <w:r>
        <w:rPr>
          <w:rFonts w:hint="eastAsia"/>
          <w:spacing w:val="-4"/>
          <w:sz w:val="24"/>
          <w:szCs w:val="24"/>
        </w:rPr>
        <w:t>（以下合称法律法规）或者交易所业务规则不要求设定担保的其他可转债，</w:t>
      </w:r>
      <w:r>
        <w:rPr>
          <w:spacing w:val="-4"/>
          <w:sz w:val="24"/>
          <w:szCs w:val="24"/>
        </w:rPr>
        <w:t>可能因未设定担保增加本息不能偿付的风险。</w:t>
      </w:r>
    </w:p>
    <w:p w:rsidR="00395322" w:rsidRDefault="009A13F0">
      <w:pPr>
        <w:pStyle w:val="a3"/>
        <w:spacing w:line="328" w:lineRule="auto"/>
        <w:ind w:right="436"/>
        <w:rPr>
          <w:spacing w:val="-4"/>
          <w:sz w:val="24"/>
          <w:szCs w:val="24"/>
        </w:rPr>
      </w:pPr>
      <w:r>
        <w:rPr>
          <w:spacing w:val="-4"/>
          <w:sz w:val="24"/>
          <w:szCs w:val="24"/>
        </w:rPr>
        <w:t>五、可转债的</w:t>
      </w:r>
      <w:r>
        <w:rPr>
          <w:spacing w:val="-4"/>
          <w:sz w:val="24"/>
          <w:szCs w:val="24"/>
        </w:rPr>
        <w:t>信用评级可能因发行人经营管理或者财务状况等因素而出现下调，继而影响可转债的债券市场交易价格。投资者应当关注可转债的跟踪评级报告。</w:t>
      </w:r>
    </w:p>
    <w:p w:rsidR="00395322" w:rsidRDefault="009A13F0">
      <w:pPr>
        <w:pStyle w:val="a3"/>
        <w:spacing w:line="328" w:lineRule="auto"/>
        <w:ind w:right="436"/>
        <w:rPr>
          <w:spacing w:val="-4"/>
          <w:sz w:val="24"/>
          <w:szCs w:val="24"/>
        </w:rPr>
      </w:pPr>
      <w:r>
        <w:rPr>
          <w:spacing w:val="-4"/>
          <w:sz w:val="24"/>
          <w:szCs w:val="24"/>
        </w:rPr>
        <w:t>六、可转债实行当日回转交易，且无涨跌幅限制，交易价格波动幅度可</w:t>
      </w:r>
      <w:r>
        <w:rPr>
          <w:spacing w:val="-4"/>
          <w:sz w:val="24"/>
          <w:szCs w:val="24"/>
        </w:rPr>
        <w:lastRenderedPageBreak/>
        <w:t>能较大。</w:t>
      </w:r>
    </w:p>
    <w:p w:rsidR="00395322" w:rsidRDefault="009A13F0">
      <w:pPr>
        <w:pStyle w:val="a3"/>
        <w:spacing w:line="328" w:lineRule="auto"/>
        <w:ind w:right="436"/>
        <w:rPr>
          <w:spacing w:val="-4"/>
          <w:sz w:val="24"/>
          <w:szCs w:val="24"/>
        </w:rPr>
      </w:pPr>
      <w:r>
        <w:rPr>
          <w:spacing w:val="-4"/>
          <w:sz w:val="24"/>
          <w:szCs w:val="24"/>
        </w:rPr>
        <w:t>七、可转债标的股票停复牌的，可转债同步停复牌，但因特殊原因</w:t>
      </w:r>
      <w:proofErr w:type="gramStart"/>
      <w:r>
        <w:rPr>
          <w:spacing w:val="-4"/>
          <w:sz w:val="24"/>
          <w:szCs w:val="24"/>
        </w:rPr>
        <w:t>可转债需单独</w:t>
      </w:r>
      <w:proofErr w:type="gramEnd"/>
      <w:r>
        <w:rPr>
          <w:spacing w:val="-4"/>
          <w:sz w:val="24"/>
          <w:szCs w:val="24"/>
        </w:rPr>
        <w:t>停复牌的除外。</w:t>
      </w:r>
    </w:p>
    <w:p w:rsidR="00395322" w:rsidRDefault="009A13F0">
      <w:pPr>
        <w:pStyle w:val="a3"/>
        <w:spacing w:line="328" w:lineRule="auto"/>
        <w:ind w:right="436"/>
        <w:rPr>
          <w:spacing w:val="-4"/>
          <w:sz w:val="24"/>
          <w:szCs w:val="24"/>
        </w:rPr>
      </w:pPr>
      <w:r>
        <w:rPr>
          <w:spacing w:val="-4"/>
          <w:sz w:val="24"/>
          <w:szCs w:val="24"/>
        </w:rPr>
        <w:t>八、可转债竞价交易盘中价格较前收盘价首次上涨或下跌</w:t>
      </w:r>
      <w:r>
        <w:rPr>
          <w:rFonts w:hint="eastAsia"/>
          <w:spacing w:val="-4"/>
          <w:sz w:val="24"/>
          <w:szCs w:val="24"/>
          <w:lang w:val="en-US"/>
        </w:rPr>
        <w:t>超过</w:t>
      </w:r>
      <w:r>
        <w:rPr>
          <w:spacing w:val="-4"/>
          <w:sz w:val="24"/>
          <w:szCs w:val="24"/>
        </w:rPr>
        <w:t>20%</w:t>
      </w:r>
      <w:r>
        <w:rPr>
          <w:rFonts w:hint="eastAsia"/>
          <w:spacing w:val="-4"/>
          <w:sz w:val="24"/>
          <w:szCs w:val="24"/>
        </w:rPr>
        <w:t>（</w:t>
      </w:r>
      <w:r>
        <w:rPr>
          <w:rFonts w:hint="eastAsia"/>
          <w:spacing w:val="-4"/>
          <w:sz w:val="24"/>
          <w:szCs w:val="24"/>
          <w:lang w:val="en-US"/>
        </w:rPr>
        <w:t>含</w:t>
      </w:r>
      <w:r>
        <w:rPr>
          <w:rFonts w:hint="eastAsia"/>
          <w:spacing w:val="-4"/>
          <w:sz w:val="24"/>
          <w:szCs w:val="24"/>
        </w:rPr>
        <w:t>）</w:t>
      </w:r>
      <w:r>
        <w:rPr>
          <w:spacing w:val="-4"/>
          <w:sz w:val="24"/>
          <w:szCs w:val="24"/>
        </w:rPr>
        <w:t>、</w:t>
      </w:r>
      <w:r>
        <w:rPr>
          <w:spacing w:val="-4"/>
          <w:sz w:val="24"/>
          <w:szCs w:val="24"/>
        </w:rPr>
        <w:t>30%</w:t>
      </w:r>
      <w:r>
        <w:rPr>
          <w:rFonts w:hint="eastAsia"/>
          <w:spacing w:val="-4"/>
          <w:sz w:val="24"/>
          <w:szCs w:val="24"/>
        </w:rPr>
        <w:t>（</w:t>
      </w:r>
      <w:r>
        <w:rPr>
          <w:rFonts w:hint="eastAsia"/>
          <w:spacing w:val="-4"/>
          <w:sz w:val="24"/>
          <w:szCs w:val="24"/>
          <w:lang w:val="en-US"/>
        </w:rPr>
        <w:t>含</w:t>
      </w:r>
      <w:r>
        <w:rPr>
          <w:rFonts w:hint="eastAsia"/>
          <w:spacing w:val="-4"/>
          <w:sz w:val="24"/>
          <w:szCs w:val="24"/>
        </w:rPr>
        <w:t>）</w:t>
      </w:r>
      <w:r>
        <w:rPr>
          <w:spacing w:val="-4"/>
          <w:sz w:val="24"/>
          <w:szCs w:val="24"/>
        </w:rPr>
        <w:t>的，实施盘中临时停牌</w:t>
      </w:r>
      <w:r>
        <w:rPr>
          <w:rFonts w:hint="eastAsia"/>
          <w:spacing w:val="-4"/>
          <w:sz w:val="24"/>
          <w:szCs w:val="24"/>
        </w:rPr>
        <w:t>。</w:t>
      </w:r>
      <w:r>
        <w:rPr>
          <w:spacing w:val="-4"/>
          <w:sz w:val="24"/>
          <w:szCs w:val="24"/>
        </w:rPr>
        <w:t>深圳</w:t>
      </w:r>
      <w:r>
        <w:rPr>
          <w:rFonts w:hint="eastAsia"/>
          <w:spacing w:val="-4"/>
          <w:sz w:val="24"/>
          <w:szCs w:val="24"/>
          <w:lang w:val="en-US"/>
        </w:rPr>
        <w:t>交易所规定，</w:t>
      </w:r>
      <w:proofErr w:type="gramStart"/>
      <w:r>
        <w:rPr>
          <w:spacing w:val="-4"/>
          <w:sz w:val="24"/>
          <w:szCs w:val="24"/>
        </w:rPr>
        <w:t>可转债单次</w:t>
      </w:r>
      <w:proofErr w:type="gramEnd"/>
      <w:r>
        <w:rPr>
          <w:spacing w:val="-4"/>
          <w:sz w:val="24"/>
          <w:szCs w:val="24"/>
        </w:rPr>
        <w:t>临时停牌时间为</w:t>
      </w:r>
      <w:r>
        <w:rPr>
          <w:spacing w:val="-4"/>
          <w:sz w:val="24"/>
          <w:szCs w:val="24"/>
        </w:rPr>
        <w:t xml:space="preserve">30 </w:t>
      </w:r>
      <w:r>
        <w:rPr>
          <w:spacing w:val="-4"/>
          <w:sz w:val="24"/>
          <w:szCs w:val="24"/>
        </w:rPr>
        <w:t>分钟。临时停牌时间跨越</w:t>
      </w:r>
      <w:r>
        <w:rPr>
          <w:spacing w:val="-4"/>
          <w:sz w:val="24"/>
          <w:szCs w:val="24"/>
          <w:lang w:val="en-US"/>
        </w:rPr>
        <w:t>14:57</w:t>
      </w:r>
      <w:r>
        <w:rPr>
          <w:spacing w:val="-4"/>
          <w:sz w:val="24"/>
          <w:szCs w:val="24"/>
        </w:rPr>
        <w:t>的，于当日</w:t>
      </w:r>
      <w:r>
        <w:rPr>
          <w:spacing w:val="-4"/>
          <w:sz w:val="24"/>
          <w:szCs w:val="24"/>
        </w:rPr>
        <w:t>14:57</w:t>
      </w:r>
      <w:r>
        <w:rPr>
          <w:spacing w:val="-4"/>
          <w:sz w:val="24"/>
          <w:szCs w:val="24"/>
        </w:rPr>
        <w:t>复牌。</w:t>
      </w:r>
    </w:p>
    <w:p w:rsidR="00395322" w:rsidRDefault="009A13F0">
      <w:pPr>
        <w:pStyle w:val="a3"/>
        <w:spacing w:line="328" w:lineRule="auto"/>
        <w:ind w:right="436"/>
        <w:rPr>
          <w:spacing w:val="-4"/>
          <w:sz w:val="24"/>
          <w:szCs w:val="24"/>
        </w:rPr>
      </w:pPr>
      <w:r>
        <w:rPr>
          <w:spacing w:val="-4"/>
          <w:sz w:val="24"/>
          <w:szCs w:val="24"/>
        </w:rPr>
        <w:t>九、可转债二级市场交易价格受上市公司股票价格、转股价格、赎回以及回售条款、市场利率、票面利率、市场预期等多重因素影响，波动情况较为复杂，可能出现跌破发行价、价格大幅波动、与投资价值相背离，甚至交易价格低于面值等情况。投资者应当关注相关风险。</w:t>
      </w:r>
    </w:p>
    <w:p w:rsidR="00395322" w:rsidRDefault="009A13F0">
      <w:pPr>
        <w:pStyle w:val="a3"/>
        <w:spacing w:line="328" w:lineRule="auto"/>
        <w:ind w:right="436"/>
        <w:rPr>
          <w:spacing w:val="-4"/>
          <w:sz w:val="24"/>
          <w:szCs w:val="24"/>
        </w:rPr>
      </w:pPr>
      <w:r>
        <w:rPr>
          <w:spacing w:val="-4"/>
          <w:sz w:val="24"/>
          <w:szCs w:val="24"/>
        </w:rPr>
        <w:t>十</w:t>
      </w:r>
      <w:r>
        <w:rPr>
          <w:rFonts w:hint="eastAsia"/>
          <w:spacing w:val="-4"/>
          <w:sz w:val="24"/>
          <w:szCs w:val="24"/>
        </w:rPr>
        <w:t>、</w:t>
      </w:r>
      <w:r>
        <w:rPr>
          <w:spacing w:val="-4"/>
          <w:sz w:val="24"/>
          <w:szCs w:val="24"/>
        </w:rPr>
        <w:t>上海交易所市场信用证券账户暂时不支持大宗交易</w:t>
      </w:r>
      <w:r>
        <w:rPr>
          <w:rFonts w:hint="eastAsia"/>
          <w:spacing w:val="-4"/>
          <w:sz w:val="24"/>
          <w:szCs w:val="24"/>
        </w:rPr>
        <w:t>、</w:t>
      </w:r>
      <w:r>
        <w:rPr>
          <w:spacing w:val="-4"/>
          <w:sz w:val="24"/>
          <w:szCs w:val="24"/>
        </w:rPr>
        <w:t>转股</w:t>
      </w:r>
      <w:r>
        <w:rPr>
          <w:rFonts w:hint="eastAsia"/>
          <w:spacing w:val="-4"/>
          <w:sz w:val="24"/>
          <w:szCs w:val="24"/>
        </w:rPr>
        <w:t>、</w:t>
      </w:r>
      <w:r>
        <w:rPr>
          <w:spacing w:val="-4"/>
          <w:sz w:val="24"/>
          <w:szCs w:val="24"/>
        </w:rPr>
        <w:t>回售</w:t>
      </w:r>
      <w:r>
        <w:rPr>
          <w:rFonts w:hint="eastAsia"/>
          <w:spacing w:val="-4"/>
          <w:sz w:val="24"/>
          <w:szCs w:val="24"/>
        </w:rPr>
        <w:t>、</w:t>
      </w:r>
      <w:r>
        <w:rPr>
          <w:spacing w:val="-4"/>
          <w:sz w:val="24"/>
          <w:szCs w:val="24"/>
        </w:rPr>
        <w:t>债券回购交易等功能</w:t>
      </w:r>
      <w:r>
        <w:rPr>
          <w:rFonts w:hint="eastAsia"/>
          <w:spacing w:val="-4"/>
          <w:sz w:val="24"/>
          <w:szCs w:val="24"/>
        </w:rPr>
        <w:t>。</w:t>
      </w:r>
      <w:r>
        <w:rPr>
          <w:spacing w:val="-4"/>
          <w:sz w:val="24"/>
          <w:szCs w:val="24"/>
        </w:rPr>
        <w:t>投资者在信用证券账户中持有可转债的</w:t>
      </w:r>
      <w:r>
        <w:rPr>
          <w:rFonts w:hint="eastAsia"/>
          <w:spacing w:val="-4"/>
          <w:sz w:val="24"/>
          <w:szCs w:val="24"/>
        </w:rPr>
        <w:t>、</w:t>
      </w:r>
      <w:r>
        <w:rPr>
          <w:spacing w:val="-4"/>
          <w:sz w:val="24"/>
          <w:szCs w:val="24"/>
        </w:rPr>
        <w:t>需关注并知晓无法在信用证券账户中参与相关业务可能造成的影响</w:t>
      </w:r>
      <w:r>
        <w:rPr>
          <w:rFonts w:hint="eastAsia"/>
          <w:spacing w:val="-4"/>
          <w:sz w:val="24"/>
          <w:szCs w:val="24"/>
        </w:rPr>
        <w:t>。</w:t>
      </w:r>
    </w:p>
    <w:p w:rsidR="00395322" w:rsidRDefault="009A13F0">
      <w:pPr>
        <w:pStyle w:val="a3"/>
        <w:spacing w:line="328" w:lineRule="auto"/>
        <w:ind w:right="436"/>
        <w:rPr>
          <w:spacing w:val="-4"/>
          <w:sz w:val="24"/>
          <w:szCs w:val="24"/>
        </w:rPr>
      </w:pPr>
      <w:r>
        <w:rPr>
          <w:spacing w:val="-4"/>
          <w:sz w:val="24"/>
          <w:szCs w:val="24"/>
        </w:rPr>
        <w:t>十一、投资者不能在可转债存续期内随时申请转股。可转债自发行结束</w:t>
      </w:r>
      <w:r>
        <w:rPr>
          <w:spacing w:val="-4"/>
          <w:sz w:val="24"/>
          <w:szCs w:val="24"/>
        </w:rPr>
        <w:t>之日起六个月后，在符合约定条件时，投资者</w:t>
      </w:r>
      <w:bookmarkStart w:id="0" w:name="_GoBack"/>
      <w:bookmarkEnd w:id="0"/>
      <w:r>
        <w:rPr>
          <w:spacing w:val="-4"/>
          <w:sz w:val="24"/>
          <w:szCs w:val="24"/>
        </w:rPr>
        <w:t>方可通过报盘方式申请转换为公司股票。转股期由发行人根据可转债的存续期限以及发行人的财务状况确定。投资者应当关注转股价格、转股期限等相关安排。</w:t>
      </w:r>
    </w:p>
    <w:p w:rsidR="00395322" w:rsidRDefault="009A13F0">
      <w:pPr>
        <w:pStyle w:val="a3"/>
        <w:spacing w:line="328" w:lineRule="auto"/>
        <w:ind w:right="436"/>
        <w:rPr>
          <w:spacing w:val="-4"/>
          <w:sz w:val="24"/>
          <w:szCs w:val="24"/>
          <w:lang w:val="en-US"/>
        </w:rPr>
      </w:pPr>
      <w:r>
        <w:rPr>
          <w:rFonts w:hint="eastAsia"/>
          <w:spacing w:val="-4"/>
          <w:sz w:val="24"/>
          <w:szCs w:val="24"/>
          <w:lang w:val="en-US"/>
        </w:rPr>
        <w:t>十二、参与</w:t>
      </w:r>
      <w:proofErr w:type="gramStart"/>
      <w:r>
        <w:rPr>
          <w:rFonts w:hint="eastAsia"/>
          <w:spacing w:val="-4"/>
          <w:sz w:val="24"/>
          <w:szCs w:val="24"/>
          <w:lang w:val="en-US"/>
        </w:rPr>
        <w:t>科创板</w:t>
      </w:r>
      <w:proofErr w:type="gramEnd"/>
      <w:r>
        <w:rPr>
          <w:rFonts w:hint="eastAsia"/>
          <w:spacing w:val="-4"/>
          <w:sz w:val="24"/>
          <w:szCs w:val="24"/>
          <w:lang w:val="en-US"/>
        </w:rPr>
        <w:t>可转债转股的投资者，应当符合</w:t>
      </w:r>
      <w:proofErr w:type="gramStart"/>
      <w:r>
        <w:rPr>
          <w:rFonts w:hint="eastAsia"/>
          <w:spacing w:val="-4"/>
          <w:sz w:val="24"/>
          <w:szCs w:val="24"/>
          <w:lang w:val="en-US"/>
        </w:rPr>
        <w:t>科创板股票</w:t>
      </w:r>
      <w:proofErr w:type="gramEnd"/>
      <w:r>
        <w:rPr>
          <w:rFonts w:hint="eastAsia"/>
          <w:spacing w:val="-4"/>
          <w:sz w:val="24"/>
          <w:szCs w:val="24"/>
          <w:lang w:val="en-US"/>
        </w:rPr>
        <w:t>投资者适当性管理要求。投资者不符合</w:t>
      </w:r>
      <w:proofErr w:type="gramStart"/>
      <w:r>
        <w:rPr>
          <w:rFonts w:hint="eastAsia"/>
          <w:spacing w:val="-4"/>
          <w:sz w:val="24"/>
          <w:szCs w:val="24"/>
          <w:lang w:val="en-US"/>
        </w:rPr>
        <w:t>科创板股票</w:t>
      </w:r>
      <w:proofErr w:type="gramEnd"/>
      <w:r>
        <w:rPr>
          <w:rFonts w:hint="eastAsia"/>
          <w:spacing w:val="-4"/>
          <w:sz w:val="24"/>
          <w:szCs w:val="24"/>
          <w:lang w:val="en-US"/>
        </w:rPr>
        <w:t>投资者适当性管理要求的，不能将所持可转债转换为股票，投资者需关注并知晓不能转股可能造成的影响。</w:t>
      </w:r>
    </w:p>
    <w:p w:rsidR="00395322" w:rsidRDefault="009A13F0">
      <w:pPr>
        <w:pStyle w:val="a3"/>
        <w:spacing w:line="328" w:lineRule="auto"/>
        <w:ind w:right="436"/>
        <w:rPr>
          <w:spacing w:val="-4"/>
          <w:sz w:val="24"/>
          <w:szCs w:val="24"/>
        </w:rPr>
      </w:pPr>
      <w:r>
        <w:rPr>
          <w:spacing w:val="-4"/>
          <w:sz w:val="24"/>
          <w:szCs w:val="24"/>
        </w:rPr>
        <w:t>十</w:t>
      </w:r>
      <w:r>
        <w:rPr>
          <w:rFonts w:hint="eastAsia"/>
          <w:spacing w:val="-4"/>
          <w:sz w:val="24"/>
          <w:szCs w:val="24"/>
          <w:lang w:val="en-US"/>
        </w:rPr>
        <w:t>三</w:t>
      </w:r>
      <w:r>
        <w:rPr>
          <w:spacing w:val="-4"/>
          <w:sz w:val="24"/>
          <w:szCs w:val="24"/>
        </w:rPr>
        <w:t>、参与创业板可转债转股的投资者，应当符合创业板市场投资者适当性管理要求。</w:t>
      </w:r>
    </w:p>
    <w:p w:rsidR="00395322" w:rsidRDefault="009A13F0">
      <w:pPr>
        <w:pStyle w:val="a3"/>
        <w:spacing w:line="328" w:lineRule="auto"/>
        <w:ind w:right="436"/>
        <w:rPr>
          <w:spacing w:val="-4"/>
          <w:sz w:val="24"/>
          <w:szCs w:val="24"/>
        </w:rPr>
      </w:pPr>
      <w:r>
        <w:rPr>
          <w:spacing w:val="-4"/>
          <w:sz w:val="24"/>
          <w:szCs w:val="24"/>
        </w:rPr>
        <w:t>十</w:t>
      </w:r>
      <w:r>
        <w:rPr>
          <w:rFonts w:hint="eastAsia"/>
          <w:spacing w:val="-4"/>
          <w:sz w:val="24"/>
          <w:szCs w:val="24"/>
          <w:lang w:val="en-US"/>
        </w:rPr>
        <w:t>四</w:t>
      </w:r>
      <w:r>
        <w:rPr>
          <w:spacing w:val="-4"/>
          <w:sz w:val="24"/>
          <w:szCs w:val="24"/>
        </w:rPr>
        <w:t>、可转债的转股价格在可转债存续期可能发生调整。发行</w:t>
      </w:r>
      <w:r>
        <w:rPr>
          <w:spacing w:val="-4"/>
          <w:sz w:val="24"/>
          <w:szCs w:val="24"/>
        </w:rPr>
        <w:t>可转债后，因配股、增发、送股、派息、分立以及其他</w:t>
      </w:r>
      <w:r>
        <w:rPr>
          <w:spacing w:val="-4"/>
          <w:sz w:val="24"/>
          <w:szCs w:val="24"/>
        </w:rPr>
        <w:t xml:space="preserve"> </w:t>
      </w:r>
      <w:r>
        <w:rPr>
          <w:spacing w:val="-4"/>
          <w:sz w:val="24"/>
          <w:szCs w:val="24"/>
        </w:rPr>
        <w:t>原因引起上市公司股份变动的，上市公司将同时调整转股价格。投资者应当关注募集说明书中约定的转股价格调整原则以及方式。</w:t>
      </w:r>
    </w:p>
    <w:p w:rsidR="00395322" w:rsidRDefault="009A13F0">
      <w:pPr>
        <w:pStyle w:val="a3"/>
        <w:spacing w:line="328" w:lineRule="auto"/>
        <w:ind w:right="436"/>
        <w:rPr>
          <w:spacing w:val="-4"/>
          <w:sz w:val="24"/>
          <w:szCs w:val="24"/>
        </w:rPr>
      </w:pPr>
      <w:r>
        <w:rPr>
          <w:spacing w:val="-4"/>
          <w:sz w:val="24"/>
          <w:szCs w:val="24"/>
        </w:rPr>
        <w:t>十</w:t>
      </w:r>
      <w:r>
        <w:rPr>
          <w:rFonts w:hint="eastAsia"/>
          <w:spacing w:val="-4"/>
          <w:sz w:val="24"/>
          <w:szCs w:val="24"/>
          <w:lang w:val="en-US"/>
        </w:rPr>
        <w:t>五</w:t>
      </w:r>
      <w:r>
        <w:rPr>
          <w:spacing w:val="-4"/>
          <w:sz w:val="24"/>
          <w:szCs w:val="24"/>
        </w:rPr>
        <w:t>、当股票价格在一定期间持续低于转股价格某一幅度，可能发生转股价格向下修正。但可转债存续期内转股价格是否向下修正以及转股价格向下修正幅度存在一定不确定性。投资者应当关注募集说明书中约定的转股价格向下修正条款以及相关公告。</w:t>
      </w:r>
    </w:p>
    <w:p w:rsidR="00395322" w:rsidRDefault="009A13F0">
      <w:pPr>
        <w:pStyle w:val="a3"/>
        <w:spacing w:line="328" w:lineRule="auto"/>
        <w:ind w:right="436"/>
        <w:rPr>
          <w:spacing w:val="-4"/>
          <w:sz w:val="24"/>
          <w:szCs w:val="24"/>
        </w:rPr>
      </w:pPr>
      <w:r>
        <w:rPr>
          <w:spacing w:val="-4"/>
          <w:sz w:val="24"/>
          <w:szCs w:val="24"/>
        </w:rPr>
        <w:t>十</w:t>
      </w:r>
      <w:r>
        <w:rPr>
          <w:rFonts w:hint="eastAsia"/>
          <w:spacing w:val="-4"/>
          <w:sz w:val="24"/>
          <w:szCs w:val="24"/>
          <w:lang w:val="en-US"/>
        </w:rPr>
        <w:t>六</w:t>
      </w:r>
      <w:r>
        <w:rPr>
          <w:spacing w:val="-4"/>
          <w:sz w:val="24"/>
          <w:szCs w:val="24"/>
        </w:rPr>
        <w:t>、如上市公司股价持续低于转股价格，且未及时进行转股价格向下修正，或者向下修正后，上市公司股价仍低于转股价格，可能导</w:t>
      </w:r>
      <w:r>
        <w:rPr>
          <w:spacing w:val="-4"/>
          <w:sz w:val="24"/>
          <w:szCs w:val="24"/>
        </w:rPr>
        <w:t>致可转债转</w:t>
      </w:r>
      <w:r>
        <w:rPr>
          <w:spacing w:val="-4"/>
          <w:sz w:val="24"/>
          <w:szCs w:val="24"/>
        </w:rPr>
        <w:lastRenderedPageBreak/>
        <w:t>股价值低于可转债面值。投资者应当关注相关风险。</w:t>
      </w:r>
    </w:p>
    <w:p w:rsidR="00395322" w:rsidRDefault="009A13F0">
      <w:pPr>
        <w:pStyle w:val="a3"/>
        <w:spacing w:line="328" w:lineRule="auto"/>
        <w:ind w:right="436"/>
        <w:rPr>
          <w:spacing w:val="-4"/>
          <w:sz w:val="24"/>
          <w:szCs w:val="24"/>
        </w:rPr>
      </w:pPr>
      <w:r>
        <w:rPr>
          <w:spacing w:val="-4"/>
          <w:sz w:val="24"/>
          <w:szCs w:val="24"/>
        </w:rPr>
        <w:t>十</w:t>
      </w:r>
      <w:r>
        <w:rPr>
          <w:rFonts w:hint="eastAsia"/>
          <w:spacing w:val="-4"/>
          <w:sz w:val="24"/>
          <w:szCs w:val="24"/>
          <w:lang w:val="en-US"/>
        </w:rPr>
        <w:t>七</w:t>
      </w:r>
      <w:r>
        <w:rPr>
          <w:spacing w:val="-4"/>
          <w:sz w:val="24"/>
          <w:szCs w:val="24"/>
        </w:rPr>
        <w:t>、如转</w:t>
      </w:r>
      <w:proofErr w:type="gramStart"/>
      <w:r>
        <w:rPr>
          <w:spacing w:val="-4"/>
          <w:sz w:val="24"/>
          <w:szCs w:val="24"/>
        </w:rPr>
        <w:t>股期间</w:t>
      </w:r>
      <w:proofErr w:type="gramEnd"/>
      <w:r>
        <w:rPr>
          <w:spacing w:val="-4"/>
          <w:sz w:val="24"/>
          <w:szCs w:val="24"/>
        </w:rPr>
        <w:t>较短时间内发生大规模转股，可能导致公司当期每股收益和净资产收益率被摊薄。如发生转股价格向下修正，可能导致公司股本摊</w:t>
      </w:r>
      <w:proofErr w:type="gramStart"/>
      <w:r>
        <w:rPr>
          <w:spacing w:val="-4"/>
          <w:sz w:val="24"/>
          <w:szCs w:val="24"/>
        </w:rPr>
        <w:t>薄程度</w:t>
      </w:r>
      <w:proofErr w:type="gramEnd"/>
      <w:r>
        <w:rPr>
          <w:spacing w:val="-4"/>
          <w:sz w:val="24"/>
          <w:szCs w:val="24"/>
        </w:rPr>
        <w:t>扩大。投资者应当关注相关风险。</w:t>
      </w:r>
    </w:p>
    <w:p w:rsidR="00395322" w:rsidRDefault="009A13F0">
      <w:pPr>
        <w:pStyle w:val="a3"/>
        <w:spacing w:line="328" w:lineRule="auto"/>
        <w:ind w:right="436"/>
        <w:rPr>
          <w:spacing w:val="-4"/>
          <w:sz w:val="24"/>
          <w:szCs w:val="24"/>
        </w:rPr>
      </w:pPr>
      <w:r>
        <w:rPr>
          <w:spacing w:val="-4"/>
          <w:sz w:val="24"/>
          <w:szCs w:val="24"/>
        </w:rPr>
        <w:t>十</w:t>
      </w:r>
      <w:r>
        <w:rPr>
          <w:rFonts w:hint="eastAsia"/>
          <w:spacing w:val="-4"/>
          <w:sz w:val="24"/>
          <w:szCs w:val="24"/>
          <w:lang w:val="en-US"/>
        </w:rPr>
        <w:t>八</w:t>
      </w:r>
      <w:r>
        <w:rPr>
          <w:spacing w:val="-4"/>
          <w:sz w:val="24"/>
          <w:szCs w:val="24"/>
        </w:rPr>
        <w:t>、可转债在存续期内满足募集说明书约定的赎回条件时，发行人可以行使赎回权，按照约定的价格赎回全部或者部分未转股的可转债。可转债赎回价格可能与二级市场交易价格差异较大，可转</w:t>
      </w:r>
      <w:proofErr w:type="gramStart"/>
      <w:r>
        <w:rPr>
          <w:spacing w:val="-4"/>
          <w:sz w:val="24"/>
          <w:szCs w:val="24"/>
        </w:rPr>
        <w:t>债存在</w:t>
      </w:r>
      <w:proofErr w:type="gramEnd"/>
      <w:r>
        <w:rPr>
          <w:spacing w:val="-4"/>
          <w:sz w:val="24"/>
          <w:szCs w:val="24"/>
        </w:rPr>
        <w:t>质押和冻结情况的可能无法赎回</w:t>
      </w:r>
      <w:r>
        <w:rPr>
          <w:rFonts w:hint="eastAsia"/>
          <w:spacing w:val="-4"/>
          <w:sz w:val="24"/>
          <w:szCs w:val="24"/>
        </w:rPr>
        <w:t>。</w:t>
      </w:r>
      <w:r>
        <w:rPr>
          <w:spacing w:val="-4"/>
          <w:sz w:val="24"/>
          <w:szCs w:val="24"/>
        </w:rPr>
        <w:t>投资者应当关注募集说明书中约定的赎回条款以及强制赎回相关风险。</w:t>
      </w:r>
    </w:p>
    <w:p w:rsidR="00395322" w:rsidRDefault="009A13F0">
      <w:pPr>
        <w:pStyle w:val="a3"/>
        <w:spacing w:line="328" w:lineRule="auto"/>
        <w:ind w:right="436"/>
        <w:rPr>
          <w:spacing w:val="-4"/>
          <w:sz w:val="24"/>
          <w:szCs w:val="24"/>
        </w:rPr>
      </w:pPr>
      <w:r>
        <w:rPr>
          <w:spacing w:val="-4"/>
          <w:sz w:val="24"/>
          <w:szCs w:val="24"/>
        </w:rPr>
        <w:t>十</w:t>
      </w:r>
      <w:r>
        <w:rPr>
          <w:rFonts w:hint="eastAsia"/>
          <w:spacing w:val="-4"/>
          <w:sz w:val="24"/>
          <w:szCs w:val="24"/>
          <w:lang w:val="en-US"/>
        </w:rPr>
        <w:t>九</w:t>
      </w:r>
      <w:r>
        <w:rPr>
          <w:spacing w:val="-4"/>
          <w:sz w:val="24"/>
          <w:szCs w:val="24"/>
        </w:rPr>
        <w:t>、可转债在存续期内满足募集说明书约定的回售条件时，债券持有人可回售部分或者全部未转股的可转债。投资者应当关注可转债的回售期限以及回售价格。</w:t>
      </w:r>
    </w:p>
    <w:p w:rsidR="00395322" w:rsidRDefault="009A13F0">
      <w:pPr>
        <w:pStyle w:val="a3"/>
        <w:spacing w:line="328" w:lineRule="auto"/>
        <w:ind w:right="436"/>
        <w:rPr>
          <w:spacing w:val="-4"/>
          <w:sz w:val="24"/>
          <w:szCs w:val="24"/>
        </w:rPr>
      </w:pPr>
      <w:r>
        <w:rPr>
          <w:rFonts w:hint="eastAsia"/>
          <w:spacing w:val="-4"/>
          <w:sz w:val="24"/>
          <w:szCs w:val="24"/>
          <w:lang w:val="en-US"/>
        </w:rPr>
        <w:t>二十</w:t>
      </w:r>
      <w:r>
        <w:rPr>
          <w:spacing w:val="-4"/>
          <w:sz w:val="24"/>
          <w:szCs w:val="24"/>
        </w:rPr>
        <w:t>、可转债发行人按照约定向到期未转股的可转债投资者还本付息，并接受投资者的回售要求。但公司经营情况、财务状况可能影响发行人还本付息、接受回售的能力，可转</w:t>
      </w:r>
      <w:proofErr w:type="gramStart"/>
      <w:r>
        <w:rPr>
          <w:spacing w:val="-4"/>
          <w:sz w:val="24"/>
          <w:szCs w:val="24"/>
        </w:rPr>
        <w:t>债可能</w:t>
      </w:r>
      <w:proofErr w:type="gramEnd"/>
      <w:r>
        <w:rPr>
          <w:spacing w:val="-4"/>
          <w:sz w:val="24"/>
          <w:szCs w:val="24"/>
        </w:rPr>
        <w:t>发生不能偿还到期本金、利息等情形，导致重大投资损失。</w:t>
      </w:r>
    </w:p>
    <w:p w:rsidR="00395322" w:rsidRDefault="009A13F0">
      <w:pPr>
        <w:pStyle w:val="a3"/>
        <w:spacing w:line="328" w:lineRule="auto"/>
        <w:ind w:right="436"/>
        <w:rPr>
          <w:spacing w:val="-4"/>
          <w:sz w:val="24"/>
          <w:szCs w:val="24"/>
        </w:rPr>
      </w:pPr>
      <w:r>
        <w:rPr>
          <w:rFonts w:hint="eastAsia"/>
          <w:spacing w:val="-4"/>
          <w:sz w:val="24"/>
          <w:szCs w:val="24"/>
        </w:rPr>
        <w:t>二十</w:t>
      </w:r>
      <w:r>
        <w:rPr>
          <w:rFonts w:hint="eastAsia"/>
          <w:spacing w:val="-4"/>
          <w:sz w:val="24"/>
          <w:szCs w:val="24"/>
          <w:lang w:val="en-US"/>
        </w:rPr>
        <w:t>一</w:t>
      </w:r>
      <w:r>
        <w:rPr>
          <w:spacing w:val="-4"/>
          <w:sz w:val="24"/>
          <w:szCs w:val="24"/>
        </w:rPr>
        <w:t>、因可转债附有转股权利，可转债的利率可能低于评级及期限相同的不可转换公司债</w:t>
      </w:r>
      <w:proofErr w:type="gramStart"/>
      <w:r>
        <w:rPr>
          <w:spacing w:val="-4"/>
          <w:sz w:val="24"/>
          <w:szCs w:val="24"/>
        </w:rPr>
        <w:t>券</w:t>
      </w:r>
      <w:proofErr w:type="gramEnd"/>
      <w:r>
        <w:rPr>
          <w:spacing w:val="-4"/>
          <w:sz w:val="24"/>
          <w:szCs w:val="24"/>
        </w:rPr>
        <w:t>利率。</w:t>
      </w:r>
    </w:p>
    <w:p w:rsidR="00395322" w:rsidRDefault="009A13F0">
      <w:pPr>
        <w:pStyle w:val="a3"/>
        <w:spacing w:line="328" w:lineRule="auto"/>
        <w:ind w:right="436"/>
        <w:rPr>
          <w:spacing w:val="-4"/>
          <w:sz w:val="24"/>
          <w:szCs w:val="24"/>
        </w:rPr>
      </w:pPr>
      <w:r>
        <w:rPr>
          <w:spacing w:val="-4"/>
          <w:sz w:val="24"/>
          <w:szCs w:val="24"/>
        </w:rPr>
        <w:t>二十</w:t>
      </w:r>
      <w:r>
        <w:rPr>
          <w:rFonts w:hint="eastAsia"/>
          <w:spacing w:val="-4"/>
          <w:sz w:val="24"/>
          <w:szCs w:val="24"/>
          <w:lang w:val="en-US"/>
        </w:rPr>
        <w:t>二</w:t>
      </w:r>
      <w:r>
        <w:rPr>
          <w:spacing w:val="-4"/>
          <w:sz w:val="24"/>
          <w:szCs w:val="24"/>
        </w:rPr>
        <w:t>、投资者应当特别关注发行人发布的可转</w:t>
      </w:r>
      <w:proofErr w:type="gramStart"/>
      <w:r>
        <w:rPr>
          <w:spacing w:val="-4"/>
          <w:sz w:val="24"/>
          <w:szCs w:val="24"/>
        </w:rPr>
        <w:t>债相关</w:t>
      </w:r>
      <w:proofErr w:type="gramEnd"/>
      <w:r>
        <w:rPr>
          <w:spacing w:val="-4"/>
          <w:sz w:val="24"/>
          <w:szCs w:val="24"/>
        </w:rPr>
        <w:t>公告，及时从上交所网站</w:t>
      </w:r>
      <w:r>
        <w:rPr>
          <w:rFonts w:hint="eastAsia"/>
          <w:spacing w:val="-4"/>
          <w:sz w:val="24"/>
          <w:szCs w:val="24"/>
        </w:rPr>
        <w:t>、</w:t>
      </w:r>
      <w:r>
        <w:rPr>
          <w:spacing w:val="-4"/>
          <w:sz w:val="24"/>
          <w:szCs w:val="24"/>
        </w:rPr>
        <w:t>深交所网站、上市公司网站、巨潮资讯网或者其他符合中国证监会规定条件的信息披露媒体、证券公司网站等渠道获取相关信息。</w:t>
      </w:r>
    </w:p>
    <w:p w:rsidR="00395322" w:rsidRDefault="009A13F0">
      <w:pPr>
        <w:pStyle w:val="a3"/>
        <w:spacing w:line="328" w:lineRule="auto"/>
        <w:ind w:right="436"/>
        <w:rPr>
          <w:spacing w:val="-4"/>
          <w:sz w:val="24"/>
          <w:szCs w:val="24"/>
        </w:rPr>
      </w:pPr>
      <w:r>
        <w:rPr>
          <w:spacing w:val="-4"/>
          <w:sz w:val="24"/>
          <w:szCs w:val="24"/>
        </w:rPr>
        <w:t>二十</w:t>
      </w:r>
      <w:r>
        <w:rPr>
          <w:rFonts w:hint="eastAsia"/>
          <w:spacing w:val="-4"/>
          <w:sz w:val="24"/>
          <w:szCs w:val="24"/>
          <w:lang w:val="en-US"/>
        </w:rPr>
        <w:t>三</w:t>
      </w:r>
      <w:r>
        <w:rPr>
          <w:spacing w:val="-4"/>
          <w:sz w:val="24"/>
          <w:szCs w:val="24"/>
        </w:rPr>
        <w:t>、可转</w:t>
      </w:r>
      <w:proofErr w:type="gramStart"/>
      <w:r>
        <w:rPr>
          <w:spacing w:val="-4"/>
          <w:sz w:val="24"/>
          <w:szCs w:val="24"/>
        </w:rPr>
        <w:t>债</w:t>
      </w:r>
      <w:r>
        <w:rPr>
          <w:rFonts w:hint="eastAsia"/>
          <w:spacing w:val="-4"/>
          <w:sz w:val="24"/>
          <w:szCs w:val="24"/>
          <w:lang w:val="en-US"/>
        </w:rPr>
        <w:t>相关</w:t>
      </w:r>
      <w:proofErr w:type="gramEnd"/>
      <w:r>
        <w:rPr>
          <w:rFonts w:hint="eastAsia"/>
          <w:spacing w:val="-4"/>
          <w:sz w:val="24"/>
          <w:szCs w:val="24"/>
          <w:lang w:val="en-US"/>
        </w:rPr>
        <w:t>法</w:t>
      </w:r>
      <w:r>
        <w:rPr>
          <w:rFonts w:hint="eastAsia"/>
          <w:spacing w:val="-4"/>
          <w:sz w:val="24"/>
          <w:szCs w:val="24"/>
          <w:lang w:val="en-US"/>
        </w:rPr>
        <w:t>律法规</w:t>
      </w:r>
      <w:r>
        <w:rPr>
          <w:spacing w:val="-4"/>
          <w:sz w:val="24"/>
          <w:szCs w:val="24"/>
        </w:rPr>
        <w:t>、交易所和登记结算机构业务规则，可能根据市场情况进行制定、废止和修改，投资者应当及时予以关注和了解。</w:t>
      </w:r>
    </w:p>
    <w:p w:rsidR="00395322" w:rsidRDefault="009A13F0">
      <w:pPr>
        <w:pStyle w:val="a3"/>
        <w:spacing w:line="328" w:lineRule="auto"/>
        <w:ind w:right="436"/>
        <w:rPr>
          <w:spacing w:val="-4"/>
          <w:sz w:val="24"/>
          <w:szCs w:val="24"/>
        </w:rPr>
      </w:pPr>
      <w:r>
        <w:rPr>
          <w:spacing w:val="-4"/>
          <w:sz w:val="24"/>
          <w:szCs w:val="24"/>
        </w:rPr>
        <w:t>二十</w:t>
      </w:r>
      <w:r>
        <w:rPr>
          <w:rFonts w:hint="eastAsia"/>
          <w:spacing w:val="-4"/>
          <w:sz w:val="24"/>
          <w:szCs w:val="24"/>
          <w:lang w:val="en-US"/>
        </w:rPr>
        <w:t>四</w:t>
      </w:r>
      <w:r>
        <w:rPr>
          <w:spacing w:val="-4"/>
          <w:sz w:val="24"/>
          <w:szCs w:val="24"/>
        </w:rPr>
        <w:t>、在可转债的存续期间，如果出现火灾、地震、瘟疫、社会动乱等不能预见、避免或者克服的不可抗力情形，可能会造成投资者经济损失。</w:t>
      </w:r>
    </w:p>
    <w:p w:rsidR="00395322" w:rsidRDefault="009A13F0">
      <w:pPr>
        <w:pStyle w:val="a3"/>
        <w:spacing w:line="328" w:lineRule="auto"/>
        <w:ind w:right="436"/>
        <w:rPr>
          <w:spacing w:val="-4"/>
          <w:sz w:val="24"/>
          <w:szCs w:val="24"/>
        </w:rPr>
      </w:pPr>
      <w:r>
        <w:rPr>
          <w:spacing w:val="-4"/>
          <w:sz w:val="24"/>
          <w:szCs w:val="24"/>
        </w:rPr>
        <w:t>二十</w:t>
      </w:r>
      <w:r>
        <w:rPr>
          <w:rFonts w:hint="eastAsia"/>
          <w:spacing w:val="-4"/>
          <w:sz w:val="24"/>
          <w:szCs w:val="24"/>
          <w:lang w:val="en-US"/>
        </w:rPr>
        <w:t>五</w:t>
      </w:r>
      <w:r>
        <w:rPr>
          <w:spacing w:val="-4"/>
          <w:sz w:val="24"/>
          <w:szCs w:val="24"/>
        </w:rPr>
        <w:t>、可能由于</w:t>
      </w:r>
      <w:r>
        <w:rPr>
          <w:rFonts w:hint="eastAsia"/>
          <w:spacing w:val="-4"/>
          <w:sz w:val="24"/>
          <w:szCs w:val="24"/>
        </w:rPr>
        <w:t>证券公司</w:t>
      </w:r>
      <w:r>
        <w:rPr>
          <w:spacing w:val="-4"/>
          <w:sz w:val="24"/>
          <w:szCs w:val="24"/>
        </w:rPr>
        <w:t>、</w:t>
      </w:r>
      <w:r>
        <w:rPr>
          <w:rFonts w:hint="eastAsia"/>
          <w:spacing w:val="-4"/>
          <w:sz w:val="24"/>
          <w:szCs w:val="24"/>
        </w:rPr>
        <w:t>交易所</w:t>
      </w:r>
      <w:r>
        <w:rPr>
          <w:spacing w:val="-4"/>
          <w:sz w:val="24"/>
          <w:szCs w:val="24"/>
        </w:rPr>
        <w:t>或者登记结算机构等的系统故障或者差错而影响交易的正常进行或者导致投资者的利益受到影响。</w:t>
      </w:r>
    </w:p>
    <w:p w:rsidR="00395322" w:rsidRDefault="009A13F0">
      <w:pPr>
        <w:pStyle w:val="a3"/>
        <w:spacing w:line="328" w:lineRule="auto"/>
        <w:ind w:right="436"/>
        <w:rPr>
          <w:spacing w:val="-4"/>
          <w:sz w:val="24"/>
          <w:szCs w:val="24"/>
        </w:rPr>
      </w:pPr>
      <w:r>
        <w:rPr>
          <w:spacing w:val="-4"/>
          <w:sz w:val="24"/>
          <w:szCs w:val="24"/>
        </w:rPr>
        <w:t>二十</w:t>
      </w:r>
      <w:r>
        <w:rPr>
          <w:rFonts w:hint="eastAsia"/>
          <w:spacing w:val="-4"/>
          <w:sz w:val="24"/>
          <w:szCs w:val="24"/>
          <w:lang w:val="en-US"/>
        </w:rPr>
        <w:t>六</w:t>
      </w:r>
      <w:r>
        <w:rPr>
          <w:rFonts w:hint="eastAsia"/>
          <w:spacing w:val="-4"/>
          <w:sz w:val="24"/>
          <w:szCs w:val="24"/>
        </w:rPr>
        <w:t>、</w:t>
      </w:r>
      <w:r>
        <w:rPr>
          <w:spacing w:val="-4"/>
          <w:sz w:val="24"/>
          <w:szCs w:val="24"/>
        </w:rPr>
        <w:t>可能由于投资者或者证券公司未按照规定进行各项申报</w:t>
      </w:r>
      <w:r>
        <w:rPr>
          <w:rFonts w:hint="eastAsia"/>
          <w:spacing w:val="-4"/>
          <w:sz w:val="24"/>
          <w:szCs w:val="24"/>
        </w:rPr>
        <w:t>、申报要素填报错误、证券公司或者结算代理人未履行职责等原因，导致操作失败的风险。</w:t>
      </w:r>
    </w:p>
    <w:p w:rsidR="00395322" w:rsidRDefault="009A13F0">
      <w:pPr>
        <w:spacing w:line="440" w:lineRule="exact"/>
        <w:ind w:firstLineChars="200" w:firstLine="482"/>
        <w:rPr>
          <w:rFonts w:ascii="仿宋" w:eastAsia="仿宋" w:hAnsi="仿宋"/>
          <w:b/>
          <w:bCs/>
          <w:sz w:val="24"/>
        </w:rPr>
      </w:pPr>
      <w:r>
        <w:rPr>
          <w:rFonts w:ascii="仿宋" w:eastAsia="仿宋" w:hAnsi="仿宋" w:hint="eastAsia"/>
          <w:b/>
          <w:bCs/>
          <w:sz w:val="24"/>
        </w:rPr>
        <w:t>特别声明：</w:t>
      </w:r>
    </w:p>
    <w:p w:rsidR="00395322" w:rsidRDefault="009A13F0">
      <w:pPr>
        <w:spacing w:line="440" w:lineRule="exact"/>
        <w:ind w:firstLineChars="200" w:firstLine="482"/>
        <w:rPr>
          <w:rFonts w:ascii="仿宋" w:eastAsia="仿宋" w:hAnsi="仿宋"/>
          <w:b/>
          <w:bCs/>
          <w:sz w:val="24"/>
        </w:rPr>
      </w:pPr>
      <w:r>
        <w:rPr>
          <w:rFonts w:ascii="仿宋" w:eastAsia="仿宋" w:hAnsi="仿宋" w:hint="eastAsia"/>
          <w:b/>
          <w:bCs/>
          <w:sz w:val="24"/>
        </w:rPr>
        <w:t>本《风险揭示书》的揭示事项仅为列举性质，未能详尽列明可转债交易的</w:t>
      </w:r>
      <w:r>
        <w:rPr>
          <w:rFonts w:ascii="仿宋" w:eastAsia="仿宋" w:hAnsi="仿宋" w:hint="eastAsia"/>
          <w:b/>
          <w:bCs/>
          <w:sz w:val="24"/>
        </w:rPr>
        <w:lastRenderedPageBreak/>
        <w:t>所有风险，投资者在参与交易前，应当认真阅读有关法律法规和交易所业务规则等相关规定，对其他可能存在的风险因素也应当有所了解和掌握，并确信自己已做好足够的风险评估与财务安排，避免因参与可转债交易遭受难以承受的损失。</w:t>
      </w:r>
    </w:p>
    <w:p w:rsidR="00395322" w:rsidRDefault="009A13F0">
      <w:pPr>
        <w:spacing w:line="440" w:lineRule="exact"/>
        <w:ind w:firstLineChars="200" w:firstLine="482"/>
        <w:rPr>
          <w:rFonts w:ascii="仿宋" w:eastAsia="仿宋" w:hAnsi="仿宋"/>
          <w:b/>
          <w:bCs/>
          <w:sz w:val="24"/>
        </w:rPr>
      </w:pPr>
      <w:r>
        <w:rPr>
          <w:rFonts w:ascii="仿宋" w:eastAsia="仿宋" w:hAnsi="仿宋" w:hint="eastAsia"/>
          <w:b/>
          <w:bCs/>
          <w:sz w:val="24"/>
        </w:rPr>
        <w:t>按照交易所规定，投资者为机构的，应当由法定代表人或者其授权代理人签署。投资者为资产管理、理财等产品的，由产品管理人的法定代表人或者其授权代理人签署。</w:t>
      </w:r>
    </w:p>
    <w:p w:rsidR="00395322" w:rsidRDefault="009A13F0">
      <w:pPr>
        <w:spacing w:line="440" w:lineRule="exact"/>
        <w:ind w:firstLineChars="200" w:firstLine="482"/>
        <w:rPr>
          <w:rFonts w:ascii="仿宋" w:eastAsia="仿宋" w:hAnsi="仿宋"/>
          <w:b/>
          <w:bCs/>
          <w:sz w:val="24"/>
        </w:rPr>
      </w:pPr>
      <w:r>
        <w:rPr>
          <w:rFonts w:ascii="仿宋" w:eastAsia="仿宋" w:hAnsi="仿宋" w:hint="eastAsia"/>
          <w:b/>
          <w:bCs/>
          <w:sz w:val="24"/>
        </w:rPr>
        <w:t>本《风险揭示书》由本人</w:t>
      </w:r>
      <w:r>
        <w:rPr>
          <w:rFonts w:ascii="仿宋" w:eastAsia="仿宋" w:hAnsi="仿宋"/>
          <w:b/>
          <w:bCs/>
          <w:sz w:val="24"/>
        </w:rPr>
        <w:t>/</w:t>
      </w:r>
      <w:r>
        <w:rPr>
          <w:rFonts w:ascii="仿宋" w:eastAsia="仿宋" w:hAnsi="仿宋"/>
          <w:b/>
          <w:bCs/>
          <w:sz w:val="24"/>
        </w:rPr>
        <w:t>本机构阅读并确认，即表明本人</w:t>
      </w:r>
      <w:r>
        <w:rPr>
          <w:rFonts w:ascii="仿宋" w:eastAsia="仿宋" w:hAnsi="仿宋"/>
          <w:b/>
          <w:bCs/>
          <w:sz w:val="24"/>
        </w:rPr>
        <w:t>/</w:t>
      </w:r>
      <w:r>
        <w:rPr>
          <w:rFonts w:ascii="仿宋" w:eastAsia="仿宋" w:hAnsi="仿宋"/>
          <w:b/>
          <w:bCs/>
          <w:sz w:val="24"/>
        </w:rPr>
        <w:t>本机构已经理解并愿意自行承担参</w:t>
      </w:r>
      <w:r>
        <w:rPr>
          <w:rFonts w:ascii="仿宋" w:eastAsia="仿宋" w:hAnsi="仿宋"/>
          <w:b/>
          <w:bCs/>
          <w:sz w:val="24"/>
        </w:rPr>
        <w:t>与</w:t>
      </w:r>
      <w:r>
        <w:rPr>
          <w:rFonts w:ascii="仿宋" w:eastAsia="仿宋" w:hAnsi="仿宋" w:hint="eastAsia"/>
          <w:b/>
          <w:bCs/>
          <w:sz w:val="24"/>
        </w:rPr>
        <w:t>可转债</w:t>
      </w:r>
      <w:r>
        <w:rPr>
          <w:rFonts w:ascii="仿宋" w:eastAsia="仿宋" w:hAnsi="仿宋"/>
          <w:b/>
          <w:bCs/>
          <w:sz w:val="24"/>
        </w:rPr>
        <w:t>交易的风险和损失</w:t>
      </w:r>
      <w:r>
        <w:rPr>
          <w:rFonts w:ascii="仿宋" w:eastAsia="仿宋" w:hAnsi="仿宋" w:hint="eastAsia"/>
          <w:b/>
          <w:bCs/>
          <w:sz w:val="24"/>
        </w:rPr>
        <w:t>。</w:t>
      </w:r>
    </w:p>
    <w:p w:rsidR="00395322" w:rsidRDefault="00395322">
      <w:pPr>
        <w:spacing w:line="360" w:lineRule="exact"/>
        <w:ind w:right="1120" w:firstLineChars="1900" w:firstLine="4578"/>
        <w:rPr>
          <w:rFonts w:ascii="仿宋" w:eastAsia="仿宋" w:hAnsi="仿宋"/>
          <w:b/>
          <w:bCs/>
          <w:sz w:val="24"/>
        </w:rPr>
      </w:pPr>
    </w:p>
    <w:p w:rsidR="00395322" w:rsidRDefault="009A13F0">
      <w:pPr>
        <w:spacing w:line="360" w:lineRule="exact"/>
        <w:ind w:right="1120" w:firstLineChars="1800" w:firstLine="4337"/>
        <w:rPr>
          <w:rFonts w:ascii="仿宋" w:eastAsia="仿宋" w:hAnsi="仿宋"/>
          <w:b/>
          <w:bCs/>
          <w:sz w:val="24"/>
        </w:rPr>
      </w:pPr>
      <w:r>
        <w:rPr>
          <w:rFonts w:ascii="仿宋" w:eastAsia="仿宋" w:hAnsi="仿宋"/>
          <w:b/>
          <w:bCs/>
          <w:sz w:val="24"/>
        </w:rPr>
        <w:t>个人客户</w:t>
      </w:r>
      <w:r>
        <w:rPr>
          <w:rFonts w:ascii="仿宋" w:eastAsia="仿宋" w:hAnsi="仿宋" w:hint="eastAsia"/>
          <w:b/>
          <w:bCs/>
          <w:sz w:val="24"/>
        </w:rPr>
        <w:t>（签字）</w:t>
      </w:r>
      <w:r>
        <w:rPr>
          <w:rFonts w:ascii="仿宋" w:eastAsia="仿宋" w:hAnsi="仿宋"/>
          <w:b/>
          <w:bCs/>
          <w:sz w:val="24"/>
        </w:rPr>
        <w:t>：</w:t>
      </w:r>
    </w:p>
    <w:p w:rsidR="00395322" w:rsidRDefault="009A13F0">
      <w:pPr>
        <w:spacing w:line="360" w:lineRule="exact"/>
        <w:ind w:right="1120" w:firstLineChars="1800" w:firstLine="4337"/>
        <w:rPr>
          <w:rFonts w:ascii="仿宋" w:eastAsia="仿宋" w:hAnsi="仿宋"/>
          <w:b/>
          <w:bCs/>
          <w:sz w:val="24"/>
        </w:rPr>
      </w:pPr>
      <w:r>
        <w:rPr>
          <w:rFonts w:ascii="仿宋" w:eastAsia="仿宋" w:hAnsi="仿宋"/>
          <w:b/>
          <w:bCs/>
          <w:sz w:val="24"/>
        </w:rPr>
        <w:t>机构</w:t>
      </w:r>
      <w:r>
        <w:rPr>
          <w:rFonts w:ascii="仿宋" w:eastAsia="仿宋" w:hAnsi="仿宋" w:hint="eastAsia"/>
          <w:b/>
          <w:bCs/>
          <w:sz w:val="24"/>
        </w:rPr>
        <w:t>/</w:t>
      </w:r>
      <w:r>
        <w:rPr>
          <w:rFonts w:ascii="仿宋" w:eastAsia="仿宋" w:hAnsi="仿宋" w:hint="eastAsia"/>
          <w:b/>
          <w:bCs/>
          <w:sz w:val="24"/>
        </w:rPr>
        <w:t>产品客户（盖章）：</w:t>
      </w:r>
    </w:p>
    <w:p w:rsidR="00395322" w:rsidRDefault="009A13F0">
      <w:pPr>
        <w:spacing w:line="360" w:lineRule="exact"/>
        <w:ind w:right="1120" w:firstLineChars="1800" w:firstLine="4337"/>
        <w:rPr>
          <w:rFonts w:ascii="仿宋" w:eastAsia="仿宋" w:hAnsi="仿宋"/>
          <w:b/>
          <w:bCs/>
          <w:sz w:val="24"/>
        </w:rPr>
      </w:pPr>
      <w:r>
        <w:rPr>
          <w:rFonts w:ascii="仿宋" w:eastAsia="仿宋" w:hAnsi="仿宋"/>
          <w:b/>
          <w:bCs/>
          <w:sz w:val="24"/>
        </w:rPr>
        <w:t>法定代表人</w:t>
      </w:r>
      <w:r>
        <w:rPr>
          <w:rFonts w:ascii="仿宋" w:eastAsia="仿宋" w:hAnsi="仿宋" w:hint="eastAsia"/>
          <w:b/>
          <w:bCs/>
          <w:sz w:val="24"/>
        </w:rPr>
        <w:t>/</w:t>
      </w:r>
      <w:r>
        <w:rPr>
          <w:rFonts w:ascii="仿宋" w:eastAsia="仿宋" w:hAnsi="仿宋" w:hint="eastAsia"/>
          <w:b/>
          <w:bCs/>
          <w:sz w:val="24"/>
        </w:rPr>
        <w:t>授权代理人：</w:t>
      </w:r>
    </w:p>
    <w:p w:rsidR="00395322" w:rsidRDefault="009A13F0">
      <w:pPr>
        <w:spacing w:line="360" w:lineRule="exact"/>
        <w:ind w:right="420"/>
        <w:rPr>
          <w:rFonts w:asciiTheme="minorEastAsia" w:hAnsiTheme="minorEastAsia"/>
          <w:sz w:val="24"/>
        </w:rPr>
      </w:pPr>
      <w:r>
        <w:rPr>
          <w:rFonts w:ascii="仿宋" w:eastAsia="仿宋" w:hAnsi="仿宋"/>
          <w:b/>
          <w:bCs/>
          <w:sz w:val="24"/>
        </w:rPr>
        <w:t xml:space="preserve">                                    </w:t>
      </w:r>
      <w:r>
        <w:rPr>
          <w:rFonts w:ascii="仿宋" w:eastAsia="仿宋" w:hAnsi="仿宋"/>
          <w:b/>
          <w:bCs/>
          <w:sz w:val="24"/>
        </w:rPr>
        <w:t>日期：</w:t>
      </w:r>
      <w:r>
        <w:rPr>
          <w:rFonts w:ascii="仿宋" w:eastAsia="仿宋" w:hAnsi="仿宋"/>
          <w:b/>
          <w:bCs/>
          <w:sz w:val="24"/>
        </w:rPr>
        <w:t xml:space="preserve">  </w:t>
      </w:r>
      <w:r>
        <w:rPr>
          <w:rFonts w:ascii="仿宋" w:eastAsia="仿宋" w:hAnsi="仿宋"/>
          <w:b/>
          <w:bCs/>
          <w:sz w:val="24"/>
        </w:rPr>
        <w:tab/>
        <w:t xml:space="preserve"> </w:t>
      </w:r>
      <w:r>
        <w:rPr>
          <w:rFonts w:ascii="仿宋" w:eastAsia="仿宋" w:hAnsi="仿宋"/>
          <w:b/>
          <w:bCs/>
          <w:sz w:val="24"/>
        </w:rPr>
        <w:t>年</w:t>
      </w:r>
      <w:r>
        <w:rPr>
          <w:rFonts w:ascii="仿宋" w:eastAsia="仿宋" w:hAnsi="仿宋"/>
          <w:b/>
          <w:bCs/>
          <w:sz w:val="24"/>
        </w:rPr>
        <w:t xml:space="preserve">    </w:t>
      </w:r>
      <w:r>
        <w:rPr>
          <w:rFonts w:ascii="仿宋" w:eastAsia="仿宋" w:hAnsi="仿宋"/>
          <w:b/>
          <w:bCs/>
          <w:sz w:val="24"/>
        </w:rPr>
        <w:t>月</w:t>
      </w:r>
      <w:r>
        <w:rPr>
          <w:rFonts w:ascii="仿宋" w:eastAsia="仿宋" w:hAnsi="仿宋"/>
          <w:b/>
          <w:bCs/>
          <w:sz w:val="24"/>
        </w:rPr>
        <w:tab/>
        <w:t xml:space="preserve">   </w:t>
      </w:r>
      <w:r>
        <w:rPr>
          <w:rFonts w:ascii="仿宋" w:eastAsia="仿宋" w:hAnsi="仿宋"/>
          <w:b/>
          <w:bCs/>
          <w:sz w:val="24"/>
        </w:rPr>
        <w:t>日</w:t>
      </w:r>
    </w:p>
    <w:p w:rsidR="00395322" w:rsidRDefault="00395322"/>
    <w:sectPr w:rsidR="003953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3F0" w:rsidRDefault="009A13F0" w:rsidP="000B60C1">
      <w:r>
        <w:separator/>
      </w:r>
    </w:p>
  </w:endnote>
  <w:endnote w:type="continuationSeparator" w:id="0">
    <w:p w:rsidR="009A13F0" w:rsidRDefault="009A13F0" w:rsidP="000B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KRKTNL+»ªÎÄÖÐËÎ">
    <w:altName w:val="Segoe Print"/>
    <w:charset w:val="01"/>
    <w:family w:val="auto"/>
    <w:pitch w:val="default"/>
    <w:sig w:usb0="00000000" w:usb1="00000000" w:usb2="01010101" w:usb3="01010101" w:csb0="01010101" w:csb1="01010101"/>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3F0" w:rsidRDefault="009A13F0" w:rsidP="000B60C1">
      <w:r>
        <w:separator/>
      </w:r>
    </w:p>
  </w:footnote>
  <w:footnote w:type="continuationSeparator" w:id="0">
    <w:p w:rsidR="009A13F0" w:rsidRDefault="009A13F0" w:rsidP="000B6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AA5"/>
    <w:rsid w:val="000B60C1"/>
    <w:rsid w:val="000C5D15"/>
    <w:rsid w:val="000F5EF1"/>
    <w:rsid w:val="00120C48"/>
    <w:rsid w:val="001F56A3"/>
    <w:rsid w:val="00395322"/>
    <w:rsid w:val="00411C7C"/>
    <w:rsid w:val="004230D2"/>
    <w:rsid w:val="004A3845"/>
    <w:rsid w:val="00612B0F"/>
    <w:rsid w:val="0065289B"/>
    <w:rsid w:val="006F037F"/>
    <w:rsid w:val="00720FAE"/>
    <w:rsid w:val="007C6FF8"/>
    <w:rsid w:val="00827FBF"/>
    <w:rsid w:val="00873836"/>
    <w:rsid w:val="008D1FB6"/>
    <w:rsid w:val="009A13F0"/>
    <w:rsid w:val="00A703A0"/>
    <w:rsid w:val="00A91C72"/>
    <w:rsid w:val="00AD17A0"/>
    <w:rsid w:val="00BC1AA5"/>
    <w:rsid w:val="00C55CEE"/>
    <w:rsid w:val="00CA754E"/>
    <w:rsid w:val="00CD0A82"/>
    <w:rsid w:val="00CF0F1C"/>
    <w:rsid w:val="00E170CB"/>
    <w:rsid w:val="00EB030D"/>
    <w:rsid w:val="00F9538D"/>
    <w:rsid w:val="188C6FEF"/>
    <w:rsid w:val="25B36E7D"/>
    <w:rsid w:val="301D329E"/>
    <w:rsid w:val="370C1E1A"/>
    <w:rsid w:val="3E3E5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A5A7B37-5DD9-465A-8945-B4D9E255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ind w:left="120" w:right="438" w:firstLine="640"/>
    </w:pPr>
    <w:rPr>
      <w:rFonts w:ascii="仿宋" w:eastAsia="仿宋" w:hAnsi="仿宋" w:cs="仿宋"/>
      <w:kern w:val="0"/>
      <w:sz w:val="32"/>
      <w:szCs w:val="32"/>
      <w:lang w:val="zh-CN" w:bidi="zh-CN"/>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正文文本 字符"/>
    <w:basedOn w:val="a0"/>
    <w:link w:val="a3"/>
    <w:uiPriority w:val="1"/>
    <w:qFormat/>
    <w:rPr>
      <w:rFonts w:ascii="仿宋" w:eastAsia="仿宋" w:hAnsi="仿宋" w:cs="仿宋"/>
      <w:kern w:val="0"/>
      <w:sz w:val="32"/>
      <w:szCs w:val="32"/>
      <w:lang w:val="zh-CN" w:bidi="zh-CN"/>
    </w:rPr>
  </w:style>
  <w:style w:type="character" w:customStyle="1" w:styleId="a6">
    <w:name w:val="批注框文本 字符"/>
    <w:basedOn w:val="a0"/>
    <w:link w:val="a5"/>
    <w:uiPriority w:val="99"/>
    <w:semiHidden/>
    <w:rPr>
      <w:kern w:val="2"/>
      <w:sz w:val="18"/>
      <w:szCs w:val="18"/>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王梓晔</dc:creator>
  <cp:lastModifiedBy>刘彬彬</cp:lastModifiedBy>
  <cp:revision>2</cp:revision>
  <cp:lastPrinted>2020-08-18T09:47:00Z</cp:lastPrinted>
  <dcterms:created xsi:type="dcterms:W3CDTF">2020-12-07T06:47:00Z</dcterms:created>
  <dcterms:modified xsi:type="dcterms:W3CDTF">2020-12-07T06:47:00Z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