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1F4" w:rsidRDefault="008F01F4" w:rsidP="008F01F4">
      <w:pPr>
        <w:pStyle w:val="a5"/>
        <w:keepNext/>
        <w:keepLines/>
        <w:widowControl w:val="0"/>
        <w:spacing w:before="260" w:beforeAutospacing="0" w:after="260" w:afterAutospacing="0" w:line="560" w:lineRule="exact"/>
        <w:jc w:val="center"/>
        <w:outlineLvl w:val="2"/>
        <w:rPr>
          <w:rFonts w:ascii="仿宋" w:hAnsi="仿宋" w:cs="仿宋"/>
          <w:b/>
          <w:lang w:val="zh-CN"/>
        </w:rPr>
      </w:pPr>
      <w:bookmarkStart w:id="0" w:name="_Toc7076234"/>
      <w:bookmarkStart w:id="1" w:name="_Toc15302"/>
      <w:bookmarkStart w:id="2" w:name="_Toc403650355"/>
      <w:bookmarkStart w:id="3" w:name="_Toc417468203"/>
      <w:bookmarkStart w:id="4" w:name="_Toc47707654"/>
      <w:r>
        <w:rPr>
          <w:rFonts w:ascii="仿宋" w:hAnsi="仿宋" w:cs="仿宋"/>
          <w:b/>
          <w:sz w:val="32"/>
          <w:szCs w:val="32"/>
          <w:lang w:val="zh-CN" w:bidi="ar"/>
        </w:rPr>
        <w:t>深圳</w:t>
      </w:r>
      <w:r>
        <w:rPr>
          <w:rFonts w:ascii="仿宋" w:hAnsi="仿宋" w:cs="仿宋" w:hint="eastAsia"/>
          <w:b/>
          <w:sz w:val="32"/>
          <w:szCs w:val="32"/>
          <w:lang w:val="zh-CN" w:bidi="ar"/>
        </w:rPr>
        <w:t>证券交易所</w:t>
      </w:r>
      <w:r w:rsidR="006823D4">
        <w:rPr>
          <w:rFonts w:ascii="仿宋" w:hAnsi="仿宋" w:cs="仿宋" w:hint="eastAsia"/>
          <w:b/>
          <w:sz w:val="32"/>
          <w:szCs w:val="32"/>
          <w:lang w:val="zh-CN" w:bidi="ar"/>
        </w:rPr>
        <w:t>退市整理</w:t>
      </w:r>
      <w:r>
        <w:rPr>
          <w:rFonts w:ascii="仿宋" w:hAnsi="仿宋" w:cs="仿宋" w:hint="eastAsia"/>
          <w:b/>
          <w:sz w:val="32"/>
          <w:szCs w:val="32"/>
          <w:lang w:val="zh-CN" w:bidi="ar"/>
        </w:rPr>
        <w:t>股票交易风险揭示书</w:t>
      </w:r>
      <w:bookmarkEnd w:id="0"/>
      <w:bookmarkEnd w:id="1"/>
      <w:bookmarkEnd w:id="2"/>
      <w:bookmarkEnd w:id="3"/>
      <w:bookmarkEnd w:id="4"/>
    </w:p>
    <w:p w:rsidR="008F01F4" w:rsidRDefault="008F01F4" w:rsidP="008F01F4">
      <w:pPr>
        <w:autoSpaceDE w:val="0"/>
        <w:autoSpaceDN w:val="0"/>
        <w:adjustRightInd w:val="0"/>
        <w:jc w:val="left"/>
        <w:rPr>
          <w:rFonts w:ascii="仿宋_GB2312" w:eastAsia="仿宋_GB2312" w:cs="仿宋_GB2312"/>
          <w:kern w:val="0"/>
          <w:sz w:val="30"/>
          <w:szCs w:val="30"/>
        </w:rPr>
      </w:pPr>
    </w:p>
    <w:p w:rsidR="008F01F4" w:rsidRDefault="008F01F4" w:rsidP="008F01F4">
      <w:pPr>
        <w:widowControl/>
        <w:spacing w:afterLines="50" w:after="156"/>
        <w:jc w:val="left"/>
        <w:rPr>
          <w:rFonts w:ascii="宋体" w:eastAsia="宋体" w:hAnsi="宋体" w:cs="Arial"/>
          <w:b/>
          <w:kern w:val="0"/>
          <w:sz w:val="24"/>
          <w:szCs w:val="22"/>
        </w:rPr>
      </w:pPr>
      <w:r>
        <w:rPr>
          <w:rFonts w:ascii="宋体" w:eastAsia="宋体" w:hAnsi="宋体" w:cs="黑体" w:hint="eastAsia"/>
          <w:b/>
          <w:kern w:val="0"/>
          <w:sz w:val="24"/>
          <w:szCs w:val="22"/>
          <w:lang w:bidi="ar"/>
        </w:rPr>
        <w:t>尊敬的客户：</w:t>
      </w:r>
    </w:p>
    <w:p w:rsidR="008F01F4" w:rsidRPr="003C3307" w:rsidRDefault="008F01F4" w:rsidP="003C3307">
      <w:pPr>
        <w:pStyle w:val="a5"/>
        <w:keepNext/>
        <w:keepLines/>
        <w:widowControl w:val="0"/>
        <w:spacing w:before="260" w:beforeAutospacing="0" w:after="260" w:afterAutospacing="0" w:line="560" w:lineRule="exact"/>
        <w:ind w:firstLineChars="200" w:firstLine="480"/>
        <w:jc w:val="both"/>
        <w:outlineLvl w:val="2"/>
        <w:rPr>
          <w:rFonts w:asciiTheme="minorEastAsia" w:eastAsiaTheme="minorEastAsia" w:hAnsiTheme="minorEastAsia"/>
          <w:lang w:bidi="ar"/>
        </w:rPr>
      </w:pPr>
      <w:r w:rsidRPr="003C3307">
        <w:rPr>
          <w:rFonts w:asciiTheme="minorEastAsia" w:eastAsiaTheme="minorEastAsia" w:hAnsiTheme="minorEastAsia" w:hint="eastAsia"/>
          <w:lang w:bidi="ar"/>
        </w:rPr>
        <w:t>鉴于投资被深圳证券交易所作出终止上市决定但处于退市整理期尚未摘牌的股票（以下简称退市整理股票）的交易风险较大，为了使您更好地了解交易风险，根据《深圳证券交易所股票上市规则》、《深圳证券交易所交易规则》以及相关退市配套业务规则等规定，本公司特向您提供</w:t>
      </w:r>
      <w:r w:rsidR="00B82249" w:rsidRPr="003C3307">
        <w:rPr>
          <w:rFonts w:asciiTheme="minorEastAsia" w:eastAsiaTheme="minorEastAsia" w:hAnsiTheme="minorEastAsia" w:hint="eastAsia"/>
          <w:lang w:bidi="ar"/>
        </w:rPr>
        <w:t>《</w:t>
      </w:r>
      <w:r w:rsidR="00B82249" w:rsidRPr="003C3307">
        <w:rPr>
          <w:rFonts w:asciiTheme="minorEastAsia" w:eastAsiaTheme="minorEastAsia" w:hAnsiTheme="minorEastAsia"/>
          <w:lang w:bidi="ar"/>
        </w:rPr>
        <w:t>深圳</w:t>
      </w:r>
      <w:r w:rsidR="00B82249" w:rsidRPr="003C3307">
        <w:rPr>
          <w:rFonts w:asciiTheme="minorEastAsia" w:eastAsiaTheme="minorEastAsia" w:hAnsiTheme="minorEastAsia" w:hint="eastAsia"/>
          <w:lang w:bidi="ar"/>
        </w:rPr>
        <w:t>证券交易所退市整理股票交易风险揭示书》（以下简称《风险揭示书》），</w:t>
      </w:r>
      <w:r w:rsidRPr="003C3307">
        <w:rPr>
          <w:rFonts w:asciiTheme="minorEastAsia" w:eastAsiaTheme="minorEastAsia" w:hAnsiTheme="minorEastAsia" w:hint="eastAsia"/>
          <w:lang w:bidi="ar"/>
        </w:rPr>
        <w:t>请您仔细阅读，</w:t>
      </w:r>
      <w:r w:rsidR="00B82249" w:rsidRPr="003C3307">
        <w:rPr>
          <w:rFonts w:asciiTheme="minorEastAsia" w:eastAsiaTheme="minorEastAsia" w:hAnsiTheme="minorEastAsia"/>
          <w:lang w:bidi="ar"/>
        </w:rPr>
        <w:t>谨慎</w:t>
      </w:r>
      <w:r w:rsidRPr="003C3307">
        <w:rPr>
          <w:rFonts w:asciiTheme="minorEastAsia" w:eastAsiaTheme="minorEastAsia" w:hAnsiTheme="minorEastAsia" w:hint="eastAsia"/>
          <w:lang w:bidi="ar"/>
        </w:rPr>
        <w:t>决策。投资者参与退市整理股票交易包括但不限于如下风险：</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一、</w:t>
      </w:r>
      <w:r w:rsidR="006823D4" w:rsidRPr="003C3307">
        <w:rPr>
          <w:rFonts w:asciiTheme="minorEastAsia" w:eastAsiaTheme="minorEastAsia" w:hAnsiTheme="minorEastAsia" w:hint="eastAsia"/>
          <w:sz w:val="24"/>
        </w:rPr>
        <w:t>客户</w:t>
      </w:r>
      <w:r w:rsidRPr="003C3307">
        <w:rPr>
          <w:rFonts w:asciiTheme="minorEastAsia" w:eastAsiaTheme="minorEastAsia" w:hAnsiTheme="minorEastAsia" w:hint="eastAsia"/>
          <w:sz w:val="24"/>
        </w:rPr>
        <w:t>在参与退市整理股票交易前，应充分了解退市相关规则、退市整理股票交易规定和进入退市整理期上市公司的基本面情况，并根据自身财务状况、实际需求及风险承受能力等，审慎考虑是否买入退市整理股票。</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二、上市公司被证券交易所作出终止上市的决定可能为以下原因：交易类原因、财务类原因、规范类原因、重大违法或者公司主动终止上市。因财务类、规范类、重大违法相关规定被证券交易所作出终止上市决定的，上市公司股票自公告终止上市决定之日起五个交易日后的次一交易日复牌并进入退市整理期交易。</w:t>
      </w:r>
      <w:r w:rsidR="00B82249" w:rsidRPr="003C3307">
        <w:rPr>
          <w:rFonts w:asciiTheme="minorEastAsia" w:eastAsiaTheme="minorEastAsia" w:hAnsiTheme="minorEastAsia" w:hint="eastAsia"/>
          <w:sz w:val="24"/>
        </w:rPr>
        <w:t>客户</w:t>
      </w:r>
      <w:r w:rsidRPr="003C3307">
        <w:rPr>
          <w:rFonts w:asciiTheme="minorEastAsia" w:eastAsiaTheme="minorEastAsia" w:hAnsiTheme="minorEastAsia" w:hint="eastAsia"/>
          <w:sz w:val="24"/>
        </w:rPr>
        <w:t>应当知悉相关股票终止上市的原因，注意相关风险。</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三、股票进入退市整理期后证券代码不变，股票简称后冠以“退”标识，退市整理股票进入风险警示板交易，行情揭示可能与其他股票不同。</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四、</w:t>
      </w:r>
      <w:r w:rsidR="00DB74E0" w:rsidRPr="003C3307">
        <w:rPr>
          <w:rFonts w:asciiTheme="minorEastAsia" w:eastAsiaTheme="minorEastAsia" w:hAnsiTheme="minorEastAsia" w:hint="eastAsia"/>
          <w:kern w:val="0"/>
          <w:sz w:val="24"/>
        </w:rPr>
        <w:t>客户在参与退市整理股票</w:t>
      </w:r>
      <w:bookmarkStart w:id="5" w:name="_GoBack"/>
      <w:bookmarkEnd w:id="5"/>
      <w:r w:rsidR="00DB74E0" w:rsidRPr="003C3307">
        <w:rPr>
          <w:rFonts w:asciiTheme="minorEastAsia" w:eastAsiaTheme="minorEastAsia" w:hAnsiTheme="minorEastAsia" w:hint="eastAsia"/>
          <w:kern w:val="0"/>
          <w:sz w:val="24"/>
        </w:rPr>
        <w:t>交易前，应充分了解退市整理股票价格的涨跌幅限制。</w:t>
      </w:r>
      <w:r w:rsidRPr="003C3307">
        <w:rPr>
          <w:rFonts w:asciiTheme="minorEastAsia" w:eastAsiaTheme="minorEastAsia" w:hAnsiTheme="minorEastAsia" w:hint="eastAsia"/>
          <w:sz w:val="24"/>
        </w:rPr>
        <w:t>股票进入退市整理期的首个交易日不实行价格涨跌幅限制，交易价格波动幅度可能较大，</w:t>
      </w:r>
      <w:r w:rsidR="00B82249" w:rsidRPr="003C3307">
        <w:rPr>
          <w:rFonts w:asciiTheme="minorEastAsia" w:eastAsiaTheme="minorEastAsia" w:hAnsiTheme="minorEastAsia" w:hint="eastAsia"/>
          <w:sz w:val="24"/>
        </w:rPr>
        <w:t>客户</w:t>
      </w:r>
      <w:r w:rsidRPr="003C3307">
        <w:rPr>
          <w:rFonts w:asciiTheme="minorEastAsia" w:eastAsiaTheme="minorEastAsia" w:hAnsiTheme="minorEastAsia" w:hint="eastAsia"/>
          <w:sz w:val="24"/>
        </w:rPr>
        <w:t>应当注意价格大幅波动风险。不实行价格涨跌幅限制的退市整理股票交易，实施盘中临时停牌制度，</w:t>
      </w:r>
      <w:r w:rsidR="00B82249" w:rsidRPr="003C3307">
        <w:rPr>
          <w:rFonts w:asciiTheme="minorEastAsia" w:eastAsiaTheme="minorEastAsia" w:hAnsiTheme="minorEastAsia" w:hint="eastAsia"/>
          <w:sz w:val="24"/>
        </w:rPr>
        <w:t>客户</w:t>
      </w:r>
      <w:r w:rsidRPr="003C3307">
        <w:rPr>
          <w:rFonts w:asciiTheme="minorEastAsia" w:eastAsiaTheme="minorEastAsia" w:hAnsiTheme="minorEastAsia" w:hint="eastAsia"/>
          <w:sz w:val="24"/>
        </w:rPr>
        <w:t>应当了解盘中临时停牌相关规定。</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lastRenderedPageBreak/>
        <w:t>五、退市整理股票的交易可能存在流动性风险，</w:t>
      </w:r>
      <w:r w:rsidR="00B82249" w:rsidRPr="003C3307">
        <w:rPr>
          <w:rFonts w:asciiTheme="minorEastAsia" w:eastAsiaTheme="minorEastAsia" w:hAnsiTheme="minorEastAsia" w:hint="eastAsia"/>
          <w:sz w:val="24"/>
        </w:rPr>
        <w:t>客户</w:t>
      </w:r>
      <w:r w:rsidRPr="003C3307">
        <w:rPr>
          <w:rFonts w:asciiTheme="minorEastAsia" w:eastAsiaTheme="minorEastAsia" w:hAnsiTheme="minorEastAsia" w:hint="eastAsia"/>
          <w:sz w:val="24"/>
        </w:rPr>
        <w:t>买入后可能因无法在股票终止上市前及时卖出所持股票而导致损失。</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六、退市整理期的交易期限仅为十五个交易日，退市整理股票将于退市整理期届满的次一交易日摘牌，公司股票终止上市。</w:t>
      </w:r>
      <w:r w:rsidR="00B82249" w:rsidRPr="003C3307">
        <w:rPr>
          <w:rFonts w:asciiTheme="minorEastAsia" w:eastAsiaTheme="minorEastAsia" w:hAnsiTheme="minorEastAsia" w:hint="eastAsia"/>
          <w:sz w:val="24"/>
        </w:rPr>
        <w:t>客户</w:t>
      </w:r>
      <w:r w:rsidRPr="003C3307">
        <w:rPr>
          <w:rFonts w:asciiTheme="minorEastAsia" w:eastAsiaTheme="minorEastAsia" w:hAnsiTheme="minorEastAsia" w:hint="eastAsia"/>
          <w:sz w:val="24"/>
        </w:rPr>
        <w:t>应当密切关注退市整理股票的剩余交易日和最后交易日，否则有可能错失卖出机会，造成不必要的损失。</w:t>
      </w:r>
    </w:p>
    <w:p w:rsidR="009E26E2" w:rsidRPr="003C3307" w:rsidRDefault="009E26E2"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股票全天停牌的，停牌期间不计入退市整理期。</w:t>
      </w:r>
    </w:p>
    <w:p w:rsidR="00D76AA0" w:rsidRPr="003C3307" w:rsidRDefault="00D76AA0" w:rsidP="003C3307">
      <w:pPr>
        <w:autoSpaceDE w:val="0"/>
        <w:autoSpaceDN w:val="0"/>
        <w:adjustRightInd w:val="0"/>
        <w:spacing w:line="360" w:lineRule="auto"/>
        <w:ind w:firstLineChars="200" w:firstLine="480"/>
        <w:rPr>
          <w:rFonts w:asciiTheme="minorEastAsia" w:eastAsiaTheme="minorEastAsia" w:hAnsiTheme="minorEastAsia"/>
          <w:sz w:val="24"/>
        </w:rPr>
      </w:pPr>
      <w:r w:rsidRPr="003C3307">
        <w:rPr>
          <w:rFonts w:asciiTheme="minorEastAsia" w:eastAsiaTheme="minorEastAsia" w:hAnsiTheme="minorEastAsia"/>
          <w:sz w:val="24"/>
        </w:rPr>
        <w:t>七</w:t>
      </w:r>
      <w:r w:rsidRPr="003C3307">
        <w:rPr>
          <w:rFonts w:asciiTheme="minorEastAsia" w:eastAsiaTheme="minorEastAsia" w:hAnsiTheme="minorEastAsia" w:hint="eastAsia"/>
          <w:sz w:val="24"/>
        </w:rPr>
        <w:t>、</w:t>
      </w:r>
      <w:r w:rsidRPr="003C3307">
        <w:rPr>
          <w:rFonts w:asciiTheme="minorEastAsia" w:eastAsiaTheme="minorEastAsia" w:hAnsiTheme="minorEastAsia" w:cs="宋体" w:hint="eastAsia"/>
          <w:sz w:val="24"/>
          <w:lang w:bidi="ar"/>
        </w:rPr>
        <w:t>退市整理股票交易实行投资者适当性管理制度。参与退市整理股票买入交易的个人投资者，必须具备两年以上股票交易经验，申请权限开通前</w:t>
      </w:r>
      <w:r w:rsidRPr="003C3307">
        <w:rPr>
          <w:rFonts w:asciiTheme="minorEastAsia" w:eastAsiaTheme="minorEastAsia" w:hAnsiTheme="minorEastAsia" w:cs="宋体"/>
          <w:sz w:val="24"/>
          <w:lang w:bidi="ar"/>
        </w:rPr>
        <w:t>20个交易</w:t>
      </w:r>
      <w:r w:rsidRPr="003C3307">
        <w:rPr>
          <w:rFonts w:asciiTheme="minorEastAsia" w:eastAsiaTheme="minorEastAsia" w:hAnsiTheme="minorEastAsia" w:cs="宋体" w:hint="eastAsia"/>
          <w:sz w:val="24"/>
          <w:lang w:bidi="ar"/>
        </w:rPr>
        <w:t>日证券账户及资金账户内的资产日均不低于人民币</w:t>
      </w:r>
      <w:r w:rsidRPr="003C3307">
        <w:rPr>
          <w:rFonts w:asciiTheme="minorEastAsia" w:eastAsiaTheme="minorEastAsia" w:hAnsiTheme="minorEastAsia" w:cs="宋体"/>
          <w:sz w:val="24"/>
          <w:lang w:bidi="ar"/>
        </w:rPr>
        <w:t>50万元</w:t>
      </w:r>
      <w:r w:rsidRPr="003C3307">
        <w:rPr>
          <w:rFonts w:asciiTheme="minorEastAsia" w:eastAsiaTheme="minorEastAsia" w:hAnsiTheme="minorEastAsia" w:cs="宋体" w:hint="eastAsia"/>
          <w:sz w:val="24"/>
          <w:lang w:bidi="ar"/>
        </w:rPr>
        <w:t>（不含通过融资融券融入的证券和资金）。不符合以上规定的个人投资者 ，仅可卖出已持有的退市整理股票。</w:t>
      </w:r>
    </w:p>
    <w:p w:rsidR="009E26E2" w:rsidRPr="003C3307" w:rsidRDefault="00D76AA0"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八</w:t>
      </w:r>
      <w:r w:rsidR="009E26E2" w:rsidRPr="003C3307">
        <w:rPr>
          <w:rFonts w:asciiTheme="minorEastAsia" w:eastAsiaTheme="minorEastAsia" w:hAnsiTheme="minorEastAsia" w:hint="eastAsia"/>
          <w:sz w:val="24"/>
        </w:rPr>
        <w:t>、</w:t>
      </w:r>
      <w:r w:rsidR="006823D4" w:rsidRPr="003C3307">
        <w:rPr>
          <w:rFonts w:asciiTheme="minorEastAsia" w:eastAsiaTheme="minorEastAsia" w:hAnsiTheme="minorEastAsia" w:hint="eastAsia"/>
          <w:sz w:val="24"/>
        </w:rPr>
        <w:t>客户</w:t>
      </w:r>
      <w:r w:rsidR="009E26E2" w:rsidRPr="003C3307">
        <w:rPr>
          <w:rFonts w:asciiTheme="minorEastAsia" w:eastAsiaTheme="minorEastAsia" w:hAnsiTheme="minorEastAsia" w:hint="eastAsia"/>
          <w:sz w:val="24"/>
        </w:rPr>
        <w:t>应当特别关注上市公司退市整理期间发布的提示性公告，及时从上市公司网站、证券交易所网站、符合中国证监会规定条件的信息披露媒体以及证券公司网站等渠道获取相关信息。</w:t>
      </w:r>
    </w:p>
    <w:p w:rsidR="009E26E2" w:rsidRPr="003C3307" w:rsidRDefault="00D76AA0"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九</w:t>
      </w:r>
      <w:r w:rsidR="009E26E2" w:rsidRPr="003C3307">
        <w:rPr>
          <w:rFonts w:asciiTheme="minorEastAsia" w:eastAsiaTheme="minorEastAsia" w:hAnsiTheme="minorEastAsia" w:hint="eastAsia"/>
          <w:sz w:val="24"/>
        </w:rPr>
        <w:t>、按照现行规定，除触及欺诈发行强制退市的公司外，上市公司股票被终止上市后可以向证券交易所申请重新上市，但须达到证券交易所规定的重新上市条件，能否重新上市存在较大的不确定性。</w:t>
      </w:r>
    </w:p>
    <w:p w:rsidR="009E26E2" w:rsidRPr="003C3307" w:rsidRDefault="00D76AA0" w:rsidP="009E26E2">
      <w:pPr>
        <w:spacing w:line="560" w:lineRule="exact"/>
        <w:ind w:firstLineChars="200" w:firstLine="480"/>
        <w:rPr>
          <w:rFonts w:asciiTheme="minorEastAsia" w:eastAsiaTheme="minorEastAsia" w:hAnsiTheme="minorEastAsia"/>
          <w:sz w:val="24"/>
        </w:rPr>
      </w:pPr>
      <w:r w:rsidRPr="003C3307">
        <w:rPr>
          <w:rFonts w:asciiTheme="minorEastAsia" w:eastAsiaTheme="minorEastAsia" w:hAnsiTheme="minorEastAsia" w:hint="eastAsia"/>
          <w:sz w:val="24"/>
        </w:rPr>
        <w:t>十</w:t>
      </w:r>
      <w:r w:rsidR="009E26E2" w:rsidRPr="003C3307">
        <w:rPr>
          <w:rFonts w:asciiTheme="minorEastAsia" w:eastAsiaTheme="minorEastAsia" w:hAnsiTheme="minorEastAsia" w:hint="eastAsia"/>
          <w:sz w:val="24"/>
        </w:rPr>
        <w:t>、退市整理股票相关法律、行政法规、部门规章、规范性文件、证券交易所和登记结算机构业务规则可能根据市场情况进行制定、废止和修改，</w:t>
      </w:r>
      <w:r w:rsidR="00B82249" w:rsidRPr="003C3307">
        <w:rPr>
          <w:rFonts w:asciiTheme="minorEastAsia" w:eastAsiaTheme="minorEastAsia" w:hAnsiTheme="minorEastAsia" w:hint="eastAsia"/>
          <w:sz w:val="24"/>
        </w:rPr>
        <w:t>客户</w:t>
      </w:r>
      <w:r w:rsidR="009E26E2" w:rsidRPr="003C3307">
        <w:rPr>
          <w:rFonts w:asciiTheme="minorEastAsia" w:eastAsiaTheme="minorEastAsia" w:hAnsiTheme="minorEastAsia" w:hint="eastAsia"/>
          <w:sz w:val="24"/>
        </w:rPr>
        <w:t>应当及时予以关注和了解。</w:t>
      </w:r>
    </w:p>
    <w:p w:rsidR="008F01F4" w:rsidRPr="00EF3806" w:rsidRDefault="008F01F4" w:rsidP="008F01F4">
      <w:pPr>
        <w:spacing w:line="360" w:lineRule="auto"/>
        <w:jc w:val="left"/>
        <w:rPr>
          <w:rFonts w:asciiTheme="minorEastAsia" w:eastAsiaTheme="minorEastAsia" w:hAnsiTheme="minorEastAsia" w:cs="宋体"/>
          <w:b/>
          <w:kern w:val="0"/>
          <w:sz w:val="28"/>
          <w:szCs w:val="28"/>
        </w:rPr>
      </w:pPr>
      <w:r w:rsidRPr="00EF3806">
        <w:rPr>
          <w:rFonts w:asciiTheme="minorEastAsia" w:eastAsiaTheme="minorEastAsia" w:hAnsiTheme="minorEastAsia" w:cs="宋体"/>
          <w:b/>
          <w:kern w:val="0"/>
          <w:sz w:val="28"/>
          <w:szCs w:val="28"/>
          <w:lang w:bidi="ar"/>
        </w:rPr>
        <w:t xml:space="preserve">   </w:t>
      </w:r>
    </w:p>
    <w:p w:rsidR="008F01F4" w:rsidRPr="00EF3806" w:rsidRDefault="008F01F4" w:rsidP="008F01F4">
      <w:pPr>
        <w:pStyle w:val="a6"/>
        <w:spacing w:line="560" w:lineRule="exact"/>
        <w:ind w:firstLineChars="200" w:firstLine="562"/>
        <w:rPr>
          <w:rFonts w:asciiTheme="minorEastAsia" w:eastAsiaTheme="minorEastAsia" w:hAnsiTheme="minorEastAsia"/>
          <w:kern w:val="0"/>
          <w:sz w:val="28"/>
          <w:szCs w:val="28"/>
        </w:rPr>
      </w:pPr>
      <w:r w:rsidRPr="00EF3806">
        <w:rPr>
          <w:rFonts w:asciiTheme="minorEastAsia" w:eastAsiaTheme="minorEastAsia" w:hAnsiTheme="minorEastAsia" w:cs="宋体" w:hint="eastAsia"/>
          <w:b/>
          <w:kern w:val="0"/>
          <w:sz w:val="28"/>
          <w:szCs w:val="28"/>
          <w:lang w:bidi="ar"/>
        </w:rPr>
        <w:t>特别声明：本《风险揭示书》的提示事项仅为列举性质，未能详尽列明</w:t>
      </w:r>
      <w:r w:rsidR="00FC3242">
        <w:rPr>
          <w:rFonts w:asciiTheme="minorEastAsia" w:eastAsiaTheme="minorEastAsia" w:hAnsiTheme="minorEastAsia" w:cs="宋体" w:hint="eastAsia"/>
          <w:b/>
          <w:kern w:val="0"/>
          <w:sz w:val="28"/>
          <w:szCs w:val="28"/>
          <w:lang w:bidi="ar"/>
        </w:rPr>
        <w:t>退市整理</w:t>
      </w:r>
      <w:r w:rsidRPr="00EF3806">
        <w:rPr>
          <w:rFonts w:asciiTheme="minorEastAsia" w:eastAsiaTheme="minorEastAsia" w:hAnsiTheme="minorEastAsia" w:cs="宋体" w:hint="eastAsia"/>
          <w:b/>
          <w:kern w:val="0"/>
          <w:sz w:val="28"/>
          <w:szCs w:val="28"/>
          <w:lang w:bidi="ar"/>
        </w:rPr>
        <w:t>股票交易的所有风险，投资者在参与交易前，应当认真阅读有关法律法规、证券交易所和登记结算机构业务规则等相关规定，对其他可能存在的风险因素也应当有所了解和掌握，并确信自己</w:t>
      </w:r>
      <w:r w:rsidRPr="00EF3806">
        <w:rPr>
          <w:rFonts w:asciiTheme="minorEastAsia" w:eastAsiaTheme="minorEastAsia" w:hAnsiTheme="minorEastAsia" w:cs="宋体" w:hint="eastAsia"/>
          <w:b/>
          <w:kern w:val="0"/>
          <w:sz w:val="28"/>
          <w:szCs w:val="28"/>
          <w:lang w:bidi="ar"/>
        </w:rPr>
        <w:lastRenderedPageBreak/>
        <w:t>已做好足够的风险评估与财务安排，避免因参与</w:t>
      </w:r>
      <w:r w:rsidR="00995113">
        <w:rPr>
          <w:rFonts w:asciiTheme="minorEastAsia" w:eastAsiaTheme="minorEastAsia" w:hAnsiTheme="minorEastAsia" w:cs="宋体" w:hint="eastAsia"/>
          <w:b/>
          <w:kern w:val="0"/>
          <w:sz w:val="28"/>
          <w:szCs w:val="28"/>
          <w:lang w:bidi="ar"/>
        </w:rPr>
        <w:t>退市整理</w:t>
      </w:r>
      <w:r w:rsidRPr="00EF3806">
        <w:rPr>
          <w:rFonts w:asciiTheme="minorEastAsia" w:eastAsiaTheme="minorEastAsia" w:hAnsiTheme="minorEastAsia" w:cs="宋体" w:hint="eastAsia"/>
          <w:b/>
          <w:kern w:val="0"/>
          <w:sz w:val="28"/>
          <w:szCs w:val="28"/>
          <w:lang w:bidi="ar"/>
        </w:rPr>
        <w:t>股票交易遭受难以承受的损失。</w:t>
      </w:r>
    </w:p>
    <w:p w:rsidR="005C1982" w:rsidRDefault="005C1982" w:rsidP="005C1982">
      <w:pPr>
        <w:pStyle w:val="a6"/>
        <w:spacing w:line="560" w:lineRule="exact"/>
        <w:ind w:firstLineChars="200" w:firstLine="562"/>
        <w:rPr>
          <w:rFonts w:asciiTheme="minorEastAsia" w:eastAsiaTheme="minorEastAsia" w:hAnsiTheme="minorEastAsia" w:cs="宋体"/>
          <w:b/>
          <w:kern w:val="0"/>
          <w:sz w:val="28"/>
          <w:szCs w:val="28"/>
          <w:lang w:bidi="ar"/>
        </w:rPr>
      </w:pPr>
      <w:r w:rsidRPr="005C1982">
        <w:rPr>
          <w:rFonts w:asciiTheme="minorEastAsia" w:eastAsiaTheme="minorEastAsia" w:hAnsiTheme="minorEastAsia" w:cs="宋体" w:hint="eastAsia"/>
          <w:b/>
          <w:kern w:val="0"/>
          <w:sz w:val="28"/>
          <w:szCs w:val="28"/>
          <w:lang w:bidi="ar"/>
        </w:rPr>
        <w:t>本人/机构已阅读并完全理解以上《风险揭示书》的全部内容，愿意自行承担参与</w:t>
      </w:r>
      <w:r w:rsidR="00995113">
        <w:rPr>
          <w:rFonts w:asciiTheme="minorEastAsia" w:eastAsiaTheme="minorEastAsia" w:hAnsiTheme="minorEastAsia" w:cs="宋体" w:hint="eastAsia"/>
          <w:b/>
          <w:kern w:val="0"/>
          <w:sz w:val="28"/>
          <w:szCs w:val="28"/>
          <w:lang w:bidi="ar"/>
        </w:rPr>
        <w:t>退市整理</w:t>
      </w:r>
      <w:r w:rsidRPr="005C1982">
        <w:rPr>
          <w:rFonts w:asciiTheme="minorEastAsia" w:eastAsiaTheme="minorEastAsia" w:hAnsiTheme="minorEastAsia" w:cs="宋体" w:hint="eastAsia"/>
          <w:b/>
          <w:kern w:val="0"/>
          <w:sz w:val="28"/>
          <w:szCs w:val="28"/>
          <w:lang w:bidi="ar"/>
        </w:rPr>
        <w:t>股票交易的风险和损失。</w:t>
      </w:r>
    </w:p>
    <w:p w:rsidR="005C1982" w:rsidRDefault="005C1982" w:rsidP="005C1982">
      <w:pPr>
        <w:pStyle w:val="a6"/>
        <w:spacing w:line="560" w:lineRule="exact"/>
        <w:ind w:firstLineChars="200" w:firstLine="562"/>
        <w:rPr>
          <w:rFonts w:asciiTheme="minorEastAsia" w:eastAsiaTheme="minorEastAsia" w:hAnsiTheme="minorEastAsia" w:cs="宋体"/>
          <w:b/>
          <w:kern w:val="0"/>
          <w:sz w:val="28"/>
          <w:szCs w:val="28"/>
          <w:lang w:bidi="ar"/>
        </w:rPr>
      </w:pPr>
    </w:p>
    <w:p w:rsidR="005C1982" w:rsidRDefault="005C1982" w:rsidP="005C1982">
      <w:pPr>
        <w:pStyle w:val="a6"/>
        <w:spacing w:line="560" w:lineRule="exact"/>
        <w:ind w:firstLineChars="200" w:firstLine="562"/>
        <w:rPr>
          <w:rFonts w:asciiTheme="minorEastAsia" w:eastAsiaTheme="minorEastAsia" w:hAnsiTheme="minorEastAsia" w:cs="宋体"/>
          <w:b/>
          <w:kern w:val="0"/>
          <w:sz w:val="28"/>
          <w:szCs w:val="28"/>
          <w:lang w:bidi="ar"/>
        </w:rPr>
      </w:pPr>
    </w:p>
    <w:p w:rsidR="005C1982" w:rsidRDefault="005C1982" w:rsidP="005C1982">
      <w:pPr>
        <w:pStyle w:val="a6"/>
        <w:spacing w:line="560" w:lineRule="exact"/>
        <w:ind w:firstLineChars="200" w:firstLine="562"/>
        <w:rPr>
          <w:rFonts w:asciiTheme="minorEastAsia" w:eastAsiaTheme="minorEastAsia" w:hAnsiTheme="minorEastAsia" w:cs="宋体"/>
          <w:b/>
          <w:kern w:val="0"/>
          <w:sz w:val="28"/>
          <w:szCs w:val="28"/>
          <w:lang w:bidi="ar"/>
        </w:rPr>
      </w:pPr>
    </w:p>
    <w:p w:rsidR="005C1982" w:rsidRPr="005C1982" w:rsidRDefault="005C1982" w:rsidP="005C1982">
      <w:pPr>
        <w:spacing w:line="560" w:lineRule="exact"/>
        <w:ind w:firstLineChars="1900" w:firstLine="4560"/>
        <w:rPr>
          <w:rFonts w:asciiTheme="minorEastAsia" w:eastAsiaTheme="minorEastAsia" w:hAnsiTheme="minorEastAsia"/>
          <w:sz w:val="24"/>
        </w:rPr>
      </w:pPr>
      <w:r w:rsidRPr="005C1982">
        <w:rPr>
          <w:rFonts w:asciiTheme="minorEastAsia" w:eastAsiaTheme="minorEastAsia" w:hAnsiTheme="minorEastAsia" w:hint="eastAsia"/>
          <w:sz w:val="24"/>
        </w:rPr>
        <w:t>客户：</w:t>
      </w:r>
    </w:p>
    <w:p w:rsidR="005C1982" w:rsidRPr="005C1982" w:rsidRDefault="005C1982" w:rsidP="005C1982">
      <w:pPr>
        <w:spacing w:line="560" w:lineRule="exact"/>
        <w:ind w:firstLineChars="1900" w:firstLine="4560"/>
        <w:rPr>
          <w:rFonts w:asciiTheme="minorEastAsia" w:eastAsiaTheme="minorEastAsia" w:hAnsiTheme="minorEastAsia"/>
          <w:sz w:val="24"/>
        </w:rPr>
      </w:pPr>
      <w:r w:rsidRPr="005C1982">
        <w:rPr>
          <w:rFonts w:asciiTheme="minorEastAsia" w:eastAsiaTheme="minorEastAsia" w:hAnsiTheme="minorEastAsia" w:hint="eastAsia"/>
          <w:sz w:val="24"/>
        </w:rPr>
        <w:t>（个人签字</w:t>
      </w:r>
      <w:r w:rsidRPr="005C1982">
        <w:rPr>
          <w:rFonts w:asciiTheme="minorEastAsia" w:eastAsiaTheme="minorEastAsia" w:hAnsiTheme="minorEastAsia"/>
          <w:sz w:val="24"/>
        </w:rPr>
        <w:t>/</w:t>
      </w:r>
      <w:r w:rsidRPr="005C1982">
        <w:rPr>
          <w:rFonts w:asciiTheme="minorEastAsia" w:eastAsiaTheme="minorEastAsia" w:hAnsiTheme="minorEastAsia" w:hint="eastAsia"/>
          <w:sz w:val="24"/>
        </w:rPr>
        <w:t>机构盖章）签署</w:t>
      </w:r>
    </w:p>
    <w:p w:rsidR="005C1982" w:rsidRPr="005C1982" w:rsidRDefault="005C1982" w:rsidP="005C1982">
      <w:pPr>
        <w:spacing w:line="560" w:lineRule="exact"/>
        <w:ind w:firstLineChars="1900" w:firstLine="4560"/>
        <w:rPr>
          <w:rFonts w:asciiTheme="minorEastAsia" w:eastAsiaTheme="minorEastAsia" w:hAnsiTheme="minorEastAsia"/>
          <w:sz w:val="24"/>
        </w:rPr>
      </w:pPr>
      <w:r w:rsidRPr="005C1982">
        <w:rPr>
          <w:rFonts w:asciiTheme="minorEastAsia" w:eastAsiaTheme="minorEastAsia" w:hAnsiTheme="minorEastAsia" w:hint="eastAsia"/>
          <w:sz w:val="24"/>
        </w:rPr>
        <w:t>日期：</w:t>
      </w:r>
      <w:r w:rsidRPr="005C1982">
        <w:rPr>
          <w:rFonts w:asciiTheme="minorEastAsia" w:eastAsiaTheme="minorEastAsia" w:hAnsiTheme="minorEastAsia"/>
          <w:sz w:val="24"/>
        </w:rPr>
        <w:tab/>
      </w:r>
      <w:r w:rsidRPr="005C1982">
        <w:rPr>
          <w:rFonts w:asciiTheme="minorEastAsia" w:eastAsiaTheme="minorEastAsia" w:hAnsiTheme="minorEastAsia" w:hint="eastAsia"/>
          <w:sz w:val="24"/>
        </w:rPr>
        <w:t xml:space="preserve">年 </w:t>
      </w:r>
      <w:r w:rsidRPr="005C1982">
        <w:rPr>
          <w:rFonts w:asciiTheme="minorEastAsia" w:eastAsiaTheme="minorEastAsia" w:hAnsiTheme="minorEastAsia"/>
          <w:sz w:val="24"/>
        </w:rPr>
        <w:t xml:space="preserve">  </w:t>
      </w:r>
      <w:r w:rsidRPr="005C1982">
        <w:rPr>
          <w:rFonts w:asciiTheme="minorEastAsia" w:eastAsiaTheme="minorEastAsia" w:hAnsiTheme="minorEastAsia" w:hint="eastAsia"/>
          <w:sz w:val="24"/>
        </w:rPr>
        <w:t xml:space="preserve"> 月 </w:t>
      </w:r>
      <w:r w:rsidRPr="005C1982">
        <w:rPr>
          <w:rFonts w:asciiTheme="minorEastAsia" w:eastAsiaTheme="minorEastAsia" w:hAnsiTheme="minorEastAsia"/>
          <w:sz w:val="24"/>
        </w:rPr>
        <w:t xml:space="preserve"> </w:t>
      </w:r>
      <w:r w:rsidRPr="005C1982">
        <w:rPr>
          <w:rFonts w:asciiTheme="minorEastAsia" w:eastAsiaTheme="minorEastAsia" w:hAnsiTheme="minorEastAsia" w:hint="eastAsia"/>
          <w:sz w:val="24"/>
        </w:rPr>
        <w:t xml:space="preserve">  日</w:t>
      </w:r>
    </w:p>
    <w:p w:rsidR="005C1982" w:rsidRDefault="005C1982" w:rsidP="008F01F4"/>
    <w:p w:rsidR="008F01F4" w:rsidRPr="002E4364" w:rsidRDefault="008F01F4" w:rsidP="008F01F4"/>
    <w:p w:rsidR="00110183" w:rsidRPr="008F01F4" w:rsidRDefault="00110183"/>
    <w:sectPr w:rsidR="00110183" w:rsidRPr="008F0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EA2" w:rsidRDefault="00930EA2" w:rsidP="008F01F4">
      <w:r>
        <w:separator/>
      </w:r>
    </w:p>
  </w:endnote>
  <w:endnote w:type="continuationSeparator" w:id="0">
    <w:p w:rsidR="00930EA2" w:rsidRDefault="00930EA2" w:rsidP="008F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EA2" w:rsidRDefault="00930EA2" w:rsidP="008F01F4">
      <w:r>
        <w:separator/>
      </w:r>
    </w:p>
  </w:footnote>
  <w:footnote w:type="continuationSeparator" w:id="0">
    <w:p w:rsidR="00930EA2" w:rsidRDefault="00930EA2" w:rsidP="008F0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C0"/>
    <w:rsid w:val="000E6CB8"/>
    <w:rsid w:val="00110183"/>
    <w:rsid w:val="002059F7"/>
    <w:rsid w:val="00245D25"/>
    <w:rsid w:val="003C3307"/>
    <w:rsid w:val="005C1982"/>
    <w:rsid w:val="006823D4"/>
    <w:rsid w:val="006958E0"/>
    <w:rsid w:val="00874BC0"/>
    <w:rsid w:val="008F01F4"/>
    <w:rsid w:val="00930EA2"/>
    <w:rsid w:val="00933A65"/>
    <w:rsid w:val="00995113"/>
    <w:rsid w:val="009E26E2"/>
    <w:rsid w:val="00B82249"/>
    <w:rsid w:val="00D45F9A"/>
    <w:rsid w:val="00D76AA0"/>
    <w:rsid w:val="00DB74E0"/>
    <w:rsid w:val="00FC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EAE985-7772-42F2-BC2D-1CC3CB2E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1F4"/>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01F4"/>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8F01F4"/>
    <w:rPr>
      <w:sz w:val="18"/>
      <w:szCs w:val="18"/>
    </w:rPr>
  </w:style>
  <w:style w:type="paragraph" w:styleId="a4">
    <w:name w:val="footer"/>
    <w:basedOn w:val="a"/>
    <w:link w:val="Char0"/>
    <w:uiPriority w:val="99"/>
    <w:unhideWhenUsed/>
    <w:rsid w:val="008F01F4"/>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8F01F4"/>
    <w:rPr>
      <w:sz w:val="18"/>
      <w:szCs w:val="18"/>
    </w:rPr>
  </w:style>
  <w:style w:type="paragraph" w:styleId="a5">
    <w:name w:val="Normal (Web)"/>
    <w:basedOn w:val="a"/>
    <w:uiPriority w:val="99"/>
    <w:qFormat/>
    <w:rsid w:val="008F01F4"/>
    <w:pPr>
      <w:widowControl/>
      <w:spacing w:before="100" w:beforeAutospacing="1" w:after="100" w:afterAutospacing="1"/>
      <w:jc w:val="left"/>
    </w:pPr>
    <w:rPr>
      <w:rFonts w:ascii="宋体" w:hAnsi="宋体" w:cs="宋体"/>
      <w:kern w:val="0"/>
      <w:sz w:val="24"/>
    </w:rPr>
  </w:style>
  <w:style w:type="paragraph" w:styleId="a6">
    <w:name w:val="Plain Text"/>
    <w:basedOn w:val="a"/>
    <w:link w:val="Char1"/>
    <w:rsid w:val="008F01F4"/>
    <w:rPr>
      <w:rFonts w:ascii="宋体" w:eastAsia="宋体" w:hAnsi="Courier New"/>
      <w:color w:val="auto"/>
      <w:szCs w:val="20"/>
    </w:rPr>
  </w:style>
  <w:style w:type="character" w:customStyle="1" w:styleId="Char1">
    <w:name w:val="纯文本 Char"/>
    <w:basedOn w:val="a0"/>
    <w:link w:val="a6"/>
    <w:rsid w:val="008F01F4"/>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李剑</dc:creator>
  <cp:keywords/>
  <dc:description/>
  <cp:lastModifiedBy>李剑</cp:lastModifiedBy>
  <cp:revision>8</cp:revision>
  <dcterms:created xsi:type="dcterms:W3CDTF">2021-01-05T08:20:00Z</dcterms:created>
  <dcterms:modified xsi:type="dcterms:W3CDTF">2021-01-07T03:20:00Z</dcterms:modified>
</cp:coreProperties>
</file>