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C0DFC" w14:textId="26B87406" w:rsidR="005B0EF2" w:rsidRDefault="005B0EF2" w:rsidP="005D0B35">
      <w:pPr>
        <w:spacing w:line="360" w:lineRule="auto"/>
        <w:jc w:val="center"/>
        <w:rPr>
          <w:rFonts w:cs="KRKTNL+»ªÎÄÖÐËÎ"/>
          <w:b/>
          <w:color w:val="auto"/>
          <w:sz w:val="28"/>
          <w:szCs w:val="28"/>
        </w:rPr>
      </w:pPr>
      <w:r w:rsidRPr="002B1FA2">
        <w:rPr>
          <w:rFonts w:cs="KRKTNL+»ªÎÄÖÐËÎ" w:hint="eastAsia"/>
          <w:b/>
          <w:color w:val="auto"/>
          <w:sz w:val="28"/>
          <w:szCs w:val="28"/>
        </w:rPr>
        <w:t>首创证券</w:t>
      </w:r>
      <w:r>
        <w:rPr>
          <w:rFonts w:cs="KRKTNL+»ªÎÄÖÐËÎ" w:hint="eastAsia"/>
          <w:b/>
          <w:color w:val="auto"/>
          <w:sz w:val="28"/>
          <w:szCs w:val="28"/>
        </w:rPr>
        <w:t>股份</w:t>
      </w:r>
      <w:r w:rsidRPr="002B1FA2">
        <w:rPr>
          <w:rFonts w:cs="KRKTNL+»ªÎÄÖÐËÎ" w:hint="eastAsia"/>
          <w:b/>
          <w:color w:val="auto"/>
          <w:sz w:val="28"/>
          <w:szCs w:val="28"/>
        </w:rPr>
        <w:t>有限公司</w:t>
      </w:r>
      <w:r w:rsidRPr="002B1FA2">
        <w:rPr>
          <w:rFonts w:cs="KRKTNL+»ªÎÄÖÐËÎ"/>
          <w:b/>
          <w:color w:val="auto"/>
          <w:sz w:val="28"/>
          <w:szCs w:val="28"/>
        </w:rPr>
        <w:t>科创板股票交易风险揭示书</w:t>
      </w:r>
    </w:p>
    <w:p w14:paraId="57514A8C" w14:textId="77777777" w:rsidR="005B0EF2" w:rsidRPr="002B1FA2" w:rsidRDefault="005B0EF2" w:rsidP="005D0B35">
      <w:pPr>
        <w:spacing w:line="360" w:lineRule="auto"/>
        <w:rPr>
          <w:rFonts w:cs="BFKPQN+·ÂËÎ_GB2312"/>
          <w:color w:val="auto"/>
          <w:sz w:val="24"/>
        </w:rPr>
      </w:pPr>
      <w:r w:rsidRPr="002B1FA2">
        <w:rPr>
          <w:rFonts w:cs="BFKPQN+·ÂËÎ_GB2312" w:hint="eastAsia"/>
          <w:color w:val="auto"/>
          <w:sz w:val="24"/>
        </w:rPr>
        <w:t>尊敬的投资者：</w:t>
      </w:r>
    </w:p>
    <w:p w14:paraId="64A5BA11" w14:textId="77777777" w:rsidR="005B0EF2" w:rsidRPr="002B1FA2" w:rsidRDefault="005B0EF2" w:rsidP="005D0B35">
      <w:pPr>
        <w:spacing w:line="360" w:lineRule="auto"/>
        <w:ind w:firstLineChars="200" w:firstLine="480"/>
        <w:rPr>
          <w:rFonts w:cs="BFKPQN+·ÂËÎ_GB2312"/>
          <w:color w:val="auto"/>
          <w:sz w:val="24"/>
        </w:rPr>
      </w:pPr>
      <w:r w:rsidRPr="002B1FA2">
        <w:rPr>
          <w:rFonts w:cs="BFKPQN+·ÂËÎ_GB2312" w:hint="eastAsia"/>
          <w:color w:val="auto"/>
          <w:sz w:val="24"/>
        </w:rPr>
        <w:t>与主板</w:t>
      </w:r>
      <w:r w:rsidRPr="002B1FA2">
        <w:rPr>
          <w:rFonts w:cs="BFKPQN+·ÂËÎ_GB2312"/>
          <w:color w:val="auto"/>
          <w:sz w:val="24"/>
        </w:rPr>
        <w:t>股票交易</w:t>
      </w:r>
      <w:r w:rsidRPr="002B1FA2">
        <w:rPr>
          <w:rFonts w:cs="BFKPQN+·ÂËÎ_GB2312" w:hint="eastAsia"/>
          <w:color w:val="auto"/>
          <w:sz w:val="24"/>
        </w:rPr>
        <w:t>相比，</w:t>
      </w:r>
      <w:r w:rsidRPr="002B1FA2">
        <w:rPr>
          <w:rFonts w:cs="EIFMCN+·ÂËÎ_GB2312" w:hint="eastAsia"/>
          <w:color w:val="auto"/>
          <w:spacing w:val="-3"/>
          <w:sz w:val="24"/>
        </w:rPr>
        <w:t>上海证券交易所（</w:t>
      </w:r>
      <w:r w:rsidRPr="002B1FA2">
        <w:rPr>
          <w:rFonts w:cs="EIFMCN+·ÂËÎ_GB2312"/>
          <w:color w:val="auto"/>
          <w:spacing w:val="-3"/>
          <w:sz w:val="24"/>
        </w:rPr>
        <w:t>以下简称</w:t>
      </w:r>
      <w:r w:rsidRPr="002B1FA2">
        <w:rPr>
          <w:rFonts w:cs="EIFMCN+·ÂËÎ_GB2312" w:hint="eastAsia"/>
          <w:color w:val="auto"/>
          <w:spacing w:val="-3"/>
          <w:sz w:val="24"/>
        </w:rPr>
        <w:t>上交所）</w:t>
      </w:r>
      <w:r w:rsidRPr="002B1FA2">
        <w:rPr>
          <w:rFonts w:cs="BFKPQN+·ÂËÎ_GB2312"/>
          <w:color w:val="auto"/>
          <w:sz w:val="24"/>
        </w:rPr>
        <w:t>科创板股票或存托凭证（以下统称科创板股票）交易</w:t>
      </w:r>
      <w:r w:rsidRPr="002B1FA2">
        <w:rPr>
          <w:rFonts w:cs="BFKPQN+·ÂËÎ_GB2312" w:hint="eastAsia"/>
          <w:color w:val="auto"/>
          <w:sz w:val="24"/>
        </w:rPr>
        <w:t>（含发行申购）有其特有的风险，为了使您更好地了解科创板</w:t>
      </w:r>
      <w:r w:rsidRPr="002B1FA2">
        <w:rPr>
          <w:rFonts w:cs="BFKPQN+·ÂËÎ_GB2312"/>
          <w:color w:val="auto"/>
          <w:sz w:val="24"/>
        </w:rPr>
        <w:t>股票交易</w:t>
      </w:r>
      <w:r w:rsidRPr="002B1FA2">
        <w:rPr>
          <w:rFonts w:cs="BFKPQN+·ÂËÎ_GB2312" w:hint="eastAsia"/>
          <w:color w:val="auto"/>
          <w:sz w:val="24"/>
        </w:rPr>
        <w:t>投资的基本知识和相关风险，根据有关</w:t>
      </w:r>
      <w:r w:rsidRPr="002B1FA2">
        <w:rPr>
          <w:rFonts w:cs="EIFMCN+·ÂËÎ_GB2312"/>
          <w:color w:val="auto"/>
          <w:spacing w:val="9"/>
          <w:sz w:val="24"/>
        </w:rPr>
        <w:t>法律、行政法规、部门规章、规范</w:t>
      </w:r>
      <w:r w:rsidRPr="002B1FA2">
        <w:rPr>
          <w:rFonts w:cs="EIFMCN+·ÂËÎ_GB2312"/>
          <w:color w:val="auto"/>
          <w:spacing w:val="-3"/>
          <w:sz w:val="24"/>
        </w:rPr>
        <w:t>性文件（以下简称法律法规）</w:t>
      </w:r>
      <w:r w:rsidRPr="002B1FA2">
        <w:rPr>
          <w:rFonts w:cs="EIFMCN+·ÂËÎ_GB2312" w:hint="eastAsia"/>
          <w:color w:val="auto"/>
          <w:spacing w:val="-3"/>
          <w:sz w:val="24"/>
        </w:rPr>
        <w:t>及上交所业务规则的</w:t>
      </w:r>
      <w:r w:rsidRPr="002B1FA2">
        <w:rPr>
          <w:rFonts w:cs="BFKPQN+·ÂËÎ_GB2312" w:hint="eastAsia"/>
          <w:color w:val="auto"/>
          <w:sz w:val="24"/>
        </w:rPr>
        <w:t>规定，本公司特向您进行</w:t>
      </w:r>
      <w:r w:rsidRPr="002B1FA2">
        <w:rPr>
          <w:rFonts w:cs="BFKPQN+·ÂËÎ_GB2312"/>
          <w:color w:val="auto"/>
          <w:sz w:val="24"/>
        </w:rPr>
        <w:t>科创板股票交易</w:t>
      </w:r>
      <w:r w:rsidRPr="002B1FA2">
        <w:rPr>
          <w:rFonts w:cs="BFKPQN+·ÂËÎ_GB2312" w:hint="eastAsia"/>
          <w:color w:val="auto"/>
          <w:sz w:val="24"/>
        </w:rPr>
        <w:t>相关</w:t>
      </w:r>
      <w:r w:rsidRPr="002B1FA2">
        <w:rPr>
          <w:rFonts w:cs="BFKPQN+·ÂËÎ_GB2312"/>
          <w:color w:val="auto"/>
          <w:sz w:val="24"/>
        </w:rPr>
        <w:t>风险揭示</w:t>
      </w:r>
      <w:r w:rsidRPr="002B1FA2">
        <w:rPr>
          <w:rFonts w:cs="BFKPQN+·ÂËÎ_GB2312" w:hint="eastAsia"/>
          <w:color w:val="auto"/>
          <w:sz w:val="24"/>
        </w:rPr>
        <w:t>。</w:t>
      </w:r>
    </w:p>
    <w:p w14:paraId="44E01CE1" w14:textId="77777777" w:rsidR="005B0EF2" w:rsidRPr="002B1FA2" w:rsidRDefault="005B0EF2" w:rsidP="005D0B35">
      <w:pPr>
        <w:spacing w:line="360" w:lineRule="auto"/>
        <w:ind w:firstLineChars="200" w:firstLine="480"/>
        <w:rPr>
          <w:rFonts w:cs="BFKPQN+·ÂËÎ_GB2312"/>
          <w:color w:val="auto"/>
          <w:sz w:val="24"/>
        </w:rPr>
      </w:pPr>
      <w:r w:rsidRPr="002B1FA2">
        <w:rPr>
          <w:rFonts w:cs="BFKPQN+·ÂËÎ_GB2312"/>
          <w:color w:val="auto"/>
          <w:sz w:val="24"/>
        </w:rPr>
        <w:t>本风险揭示书并不能揭示从事科创板股票交易的全部风险，您务必对此有清醒的认识，认真考虑是否参与科创板股票交易。当您决定参与</w:t>
      </w:r>
      <w:r w:rsidRPr="002B1FA2">
        <w:rPr>
          <w:rFonts w:cs="BFKPQN+·ÂËÎ_GB2312" w:hint="eastAsia"/>
          <w:color w:val="auto"/>
          <w:sz w:val="24"/>
        </w:rPr>
        <w:t>上交所</w:t>
      </w:r>
      <w:r w:rsidRPr="002B1FA2">
        <w:rPr>
          <w:rFonts w:cs="BFKPQN+·ÂËÎ_GB2312"/>
          <w:color w:val="auto"/>
          <w:sz w:val="24"/>
        </w:rPr>
        <w:t>科创板股票交易之前，请您务必认真阅读</w:t>
      </w:r>
      <w:r w:rsidRPr="002B1FA2">
        <w:rPr>
          <w:rFonts w:cs="BFKPQN+·ÂËÎ_GB2312" w:hint="eastAsia"/>
          <w:color w:val="auto"/>
          <w:sz w:val="24"/>
        </w:rPr>
        <w:t>并了解以下风险：</w:t>
      </w:r>
    </w:p>
    <w:p w14:paraId="64C0C37F"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【上市企业自身经营风险】</w:t>
      </w:r>
    </w:p>
    <w:p w14:paraId="5218BE38" w14:textId="77777777" w:rsidR="005B0EF2" w:rsidRPr="002B1FA2" w:rsidRDefault="005B0EF2" w:rsidP="005D0B35">
      <w:pPr>
        <w:spacing w:line="360" w:lineRule="auto"/>
        <w:ind w:firstLineChars="200" w:firstLine="480"/>
        <w:rPr>
          <w:color w:val="auto"/>
          <w:sz w:val="24"/>
        </w:rPr>
      </w:pPr>
      <w:bookmarkStart w:id="0" w:name="_Hlk62246635"/>
      <w:r w:rsidRPr="002B1FA2">
        <w:rPr>
          <w:rFonts w:cs="BFKPQN+·ÂËÎ_GB2312"/>
          <w:color w:val="auto"/>
          <w:sz w:val="24"/>
        </w:rPr>
        <w:t>一、科创板企业所处行业和业务往往具有研发投入规模大、</w:t>
      </w:r>
      <w:r w:rsidRPr="002B1FA2">
        <w:rPr>
          <w:rFonts w:cs="BFKPQN+·ÂËÎ_GB2312"/>
          <w:color w:val="auto"/>
          <w:spacing w:val="-3"/>
          <w:sz w:val="24"/>
        </w:rPr>
        <w:t>盈利周期长、技术迭代快、风险高以及严重依赖核心项目、核心技术人员、少数供应商等特点，企业上市后的持续创新能力、主营业务发展的可持续性、公司收入及盈利水平等仍具有较大不确</w:t>
      </w:r>
      <w:r w:rsidRPr="002B1FA2">
        <w:rPr>
          <w:rFonts w:cs="BFKPQN+·ÂËÎ_GB2312"/>
          <w:color w:val="auto"/>
          <w:sz w:val="24"/>
        </w:rPr>
        <w:t>定性。</w:t>
      </w:r>
    </w:p>
    <w:p w14:paraId="1A465771" w14:textId="0FA0F064" w:rsidR="005B0EF2" w:rsidRPr="002B1FA2" w:rsidRDefault="005B0EF2" w:rsidP="005D0B35">
      <w:pPr>
        <w:spacing w:line="360" w:lineRule="auto"/>
        <w:ind w:firstLineChars="200" w:firstLine="464"/>
        <w:rPr>
          <w:rFonts w:cs="BFKPQN+·ÂËÎ_GB2312"/>
          <w:color w:val="auto"/>
          <w:sz w:val="24"/>
        </w:rPr>
      </w:pPr>
      <w:r w:rsidRPr="002B1FA2">
        <w:rPr>
          <w:rFonts w:cs="BFKPQN+·ÂËÎ_GB2312"/>
          <w:color w:val="auto"/>
          <w:spacing w:val="-4"/>
          <w:sz w:val="24"/>
        </w:rPr>
        <w:t>二、</w:t>
      </w:r>
      <w:bookmarkStart w:id="1" w:name="_Hlk62246544"/>
      <w:r w:rsidRPr="002B1FA2">
        <w:rPr>
          <w:rFonts w:cs="BFKPQN+·ÂËÎ_GB2312"/>
          <w:color w:val="auto"/>
          <w:spacing w:val="-4"/>
          <w:sz w:val="24"/>
        </w:rPr>
        <w:t>科创板企业可能存在首次公开发行前</w:t>
      </w:r>
      <w:r>
        <w:rPr>
          <w:rFonts w:cs="BFKPQN+·ÂËÎ_GB2312" w:hint="eastAsia"/>
          <w:color w:val="auto"/>
          <w:spacing w:val="-4"/>
          <w:sz w:val="24"/>
        </w:rPr>
        <w:t>最近3个</w:t>
      </w:r>
      <w:r w:rsidRPr="002B1FA2">
        <w:rPr>
          <w:rFonts w:cs="BFKPQN+·ÂËÎ_GB2312"/>
          <w:color w:val="auto"/>
          <w:sz w:val="24"/>
        </w:rPr>
        <w:t>会计年度</w:t>
      </w:r>
      <w:r w:rsidRPr="002B1FA2">
        <w:rPr>
          <w:rFonts w:cs="BFKPQN+·ÂËÎ_GB2312"/>
          <w:color w:val="auto"/>
          <w:spacing w:val="-3"/>
          <w:sz w:val="24"/>
        </w:rPr>
        <w:t>未能连续盈利、公开发行并上市时尚未盈利、有累计未弥补亏损等情形，可能存在上市后仍无法盈利、持续亏损、无法进行利润</w:t>
      </w:r>
      <w:r w:rsidRPr="002B1FA2">
        <w:rPr>
          <w:rFonts w:cs="BFKPQN+·ÂËÎ_GB2312"/>
          <w:color w:val="auto"/>
          <w:sz w:val="24"/>
        </w:rPr>
        <w:t>分配等情形。</w:t>
      </w:r>
      <w:bookmarkEnd w:id="1"/>
    </w:p>
    <w:bookmarkEnd w:id="0"/>
    <w:p w14:paraId="17954F83"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【上市规则差异化风险】</w:t>
      </w:r>
    </w:p>
    <w:p w14:paraId="561816AD" w14:textId="77777777" w:rsidR="005B0EF2" w:rsidRPr="002B1FA2" w:rsidRDefault="005B0EF2" w:rsidP="005D0B35">
      <w:pPr>
        <w:spacing w:line="360" w:lineRule="auto"/>
        <w:ind w:firstLineChars="200" w:firstLine="568"/>
        <w:rPr>
          <w:color w:val="auto"/>
          <w:sz w:val="24"/>
        </w:rPr>
      </w:pPr>
      <w:bookmarkStart w:id="2" w:name="_Hlk62246606"/>
      <w:r w:rsidRPr="002B1FA2">
        <w:rPr>
          <w:rFonts w:cs="BFKPQN+·ÂËÎ_GB2312"/>
          <w:color w:val="auto"/>
          <w:spacing w:val="22"/>
          <w:sz w:val="24"/>
        </w:rPr>
        <w:t>三、科创板新股发行价格、规模、节奏等坚持市场化导</w:t>
      </w:r>
      <w:r w:rsidRPr="002B1FA2">
        <w:rPr>
          <w:rFonts w:cs="BFKPQN+·ÂËÎ_GB2312"/>
          <w:color w:val="auto"/>
          <w:spacing w:val="8"/>
          <w:sz w:val="24"/>
        </w:rPr>
        <w:t>向，询价、定价、配售等环节由机构投资者主导。科创板新股发行全部采用询价定价方式，询价对象限定在证券公司等七类</w:t>
      </w:r>
      <w:r w:rsidRPr="002B1FA2">
        <w:rPr>
          <w:rFonts w:cs="BFKPQN+·ÂËÎ_GB2312"/>
          <w:color w:val="auto"/>
          <w:spacing w:val="20"/>
          <w:sz w:val="24"/>
        </w:rPr>
        <w:t>专业机构投资者，而个人投资者无法直接参与发行定价。同时，因科创板企业普遍具有技术新、前景不确定、业绩波动</w:t>
      </w:r>
      <w:r w:rsidRPr="002B1FA2">
        <w:rPr>
          <w:rFonts w:cs="JSSJSM+·ÂËÎ_GB2312"/>
          <w:color w:val="auto"/>
          <w:spacing w:val="8"/>
          <w:sz w:val="24"/>
        </w:rPr>
        <w:t>大、风险高等特征，市场可比公司较少，传统估值方法可能不适用，发行定价难度较大，科创板股票上市后可能存在股价波</w:t>
      </w:r>
      <w:r w:rsidRPr="002B1FA2">
        <w:rPr>
          <w:rFonts w:cs="JSSJSM+·ÂËÎ_GB2312"/>
          <w:color w:val="auto"/>
          <w:sz w:val="24"/>
        </w:rPr>
        <w:t>动的风险。</w:t>
      </w:r>
    </w:p>
    <w:p w14:paraId="752ACCA0" w14:textId="77777777" w:rsidR="005B0EF2" w:rsidRPr="002B1FA2" w:rsidRDefault="005B0EF2" w:rsidP="005D0B35">
      <w:pPr>
        <w:spacing w:line="360" w:lineRule="auto"/>
        <w:ind w:firstLineChars="200" w:firstLine="516"/>
        <w:rPr>
          <w:color w:val="auto"/>
          <w:sz w:val="24"/>
        </w:rPr>
      </w:pPr>
      <w:bookmarkStart w:id="3" w:name="_Hlk62246658"/>
      <w:bookmarkEnd w:id="2"/>
      <w:r w:rsidRPr="002B1FA2">
        <w:rPr>
          <w:rFonts w:cs="JSSJSM+·ÂËÎ_GB2312"/>
          <w:color w:val="auto"/>
          <w:spacing w:val="9"/>
          <w:sz w:val="24"/>
        </w:rPr>
        <w:t>四、初步询价结束后，科创板发行人预计发行后总市值不</w:t>
      </w:r>
      <w:r w:rsidRPr="002B1FA2">
        <w:rPr>
          <w:rFonts w:cs="JSSJSM+·ÂËÎ_GB2312"/>
          <w:color w:val="auto"/>
          <w:spacing w:val="20"/>
          <w:sz w:val="24"/>
        </w:rPr>
        <w:t>满足其在招股说明书中明确选择的市值与财务指标上市标准</w:t>
      </w:r>
      <w:r w:rsidRPr="002B1FA2">
        <w:rPr>
          <w:rFonts w:cs="JSSJSM+·ÂËÎ_GB2312"/>
          <w:color w:val="auto"/>
          <w:sz w:val="24"/>
        </w:rPr>
        <w:t>的，将按规定中止发行。</w:t>
      </w:r>
    </w:p>
    <w:p w14:paraId="05F917E8" w14:textId="77777777" w:rsidR="005B0EF2" w:rsidRPr="002B1FA2" w:rsidRDefault="005B0EF2" w:rsidP="005D0B35">
      <w:pPr>
        <w:spacing w:line="360" w:lineRule="auto"/>
        <w:ind w:firstLineChars="200" w:firstLine="516"/>
        <w:rPr>
          <w:color w:val="auto"/>
          <w:sz w:val="24"/>
        </w:rPr>
      </w:pPr>
      <w:r w:rsidRPr="002B1FA2">
        <w:rPr>
          <w:rFonts w:cs="JSSJSM+·ÂËÎ_GB2312"/>
          <w:color w:val="auto"/>
          <w:spacing w:val="9"/>
          <w:sz w:val="24"/>
        </w:rPr>
        <w:t>五、科创板股票网上发行比例、网下向网上回拨比例、申</w:t>
      </w:r>
      <w:r w:rsidRPr="002B1FA2">
        <w:rPr>
          <w:rFonts w:cs="JSSJSM+·ÂËÎ_GB2312"/>
          <w:color w:val="auto"/>
          <w:spacing w:val="8"/>
          <w:sz w:val="24"/>
        </w:rPr>
        <w:t>购单位、投资风险特别公告发布等与目前上交所主板股票发行规则存在差异，投资者应</w:t>
      </w:r>
      <w:r w:rsidRPr="002B1FA2">
        <w:rPr>
          <w:rFonts w:cs="JSSJSM+·ÂËÎ_GB2312"/>
          <w:color w:val="auto"/>
          <w:spacing w:val="8"/>
          <w:sz w:val="24"/>
        </w:rPr>
        <w:lastRenderedPageBreak/>
        <w:t>当在申购环节充分知悉并关注相关规</w:t>
      </w:r>
      <w:r w:rsidRPr="002B1FA2">
        <w:rPr>
          <w:rFonts w:cs="JSSJSM+·ÂËÎ_GB2312"/>
          <w:color w:val="auto"/>
          <w:sz w:val="24"/>
        </w:rPr>
        <w:t>则。</w:t>
      </w:r>
    </w:p>
    <w:p w14:paraId="4016C379" w14:textId="77777777" w:rsidR="005B0EF2" w:rsidRPr="002B1FA2" w:rsidRDefault="005B0EF2" w:rsidP="005D0B35">
      <w:pPr>
        <w:spacing w:line="360" w:lineRule="auto"/>
        <w:ind w:firstLineChars="200" w:firstLine="516"/>
        <w:rPr>
          <w:rFonts w:cs="JSSJSM+·ÂËÎ_GB2312"/>
          <w:color w:val="auto"/>
          <w:sz w:val="24"/>
        </w:rPr>
      </w:pPr>
      <w:r w:rsidRPr="002B1FA2">
        <w:rPr>
          <w:rFonts w:cs="JSSJSM+·ÂËÎ_GB2312"/>
          <w:color w:val="auto"/>
          <w:spacing w:val="9"/>
          <w:sz w:val="24"/>
        </w:rPr>
        <w:t>六、首次公开发行股票时，发行人和主承销商可以采用超</w:t>
      </w:r>
      <w:r w:rsidRPr="002B1FA2">
        <w:rPr>
          <w:rFonts w:cs="JSSJSM+·ÂËÎ_GB2312"/>
          <w:color w:val="auto"/>
          <w:spacing w:val="8"/>
          <w:sz w:val="24"/>
        </w:rPr>
        <w:t>额配售选择权，不受首次公开发行股票数量条件的限制，即存</w:t>
      </w:r>
      <w:r w:rsidRPr="002B1FA2">
        <w:rPr>
          <w:rFonts w:cs="JSSJSM+·ÂËÎ_GB2312"/>
          <w:color w:val="auto"/>
          <w:sz w:val="24"/>
        </w:rPr>
        <w:t>在超额配售选择权实施结束后，发行人增发股票的可能性。</w:t>
      </w:r>
    </w:p>
    <w:bookmarkEnd w:id="3"/>
    <w:p w14:paraId="4455C888"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【退市风险】</w:t>
      </w:r>
    </w:p>
    <w:p w14:paraId="29FADF80" w14:textId="42294BF9" w:rsidR="005B0EF2" w:rsidRDefault="001A2F9F" w:rsidP="005D0B35">
      <w:pPr>
        <w:spacing w:line="360" w:lineRule="auto"/>
        <w:ind w:firstLineChars="200" w:firstLine="480"/>
        <w:rPr>
          <w:rFonts w:cs="JSSJSM+·ÂËÎ_GB2312"/>
          <w:color w:val="auto"/>
          <w:sz w:val="24"/>
        </w:rPr>
      </w:pPr>
      <w:r w:rsidRPr="003A4147">
        <w:rPr>
          <w:rFonts w:cs="JSSJSM+·ÂËÎ_GB2312" w:hint="eastAsia"/>
          <w:color w:val="auto"/>
          <w:sz w:val="24"/>
        </w:rPr>
        <w:t>七、</w:t>
      </w:r>
      <w:r w:rsidR="005B0EF2" w:rsidRPr="003A4147">
        <w:rPr>
          <w:rFonts w:cs="JSSJSM+·ÂËÎ_GB2312"/>
          <w:color w:val="auto"/>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w:t>
      </w:r>
    </w:p>
    <w:p w14:paraId="455469D2" w14:textId="4E81BD54" w:rsidR="001A2F9F" w:rsidRPr="001A2F9F" w:rsidRDefault="001A2F9F" w:rsidP="005D0B35">
      <w:pPr>
        <w:spacing w:line="360" w:lineRule="auto"/>
        <w:ind w:firstLineChars="200" w:firstLine="516"/>
        <w:rPr>
          <w:color w:val="auto"/>
          <w:sz w:val="24"/>
        </w:rPr>
      </w:pPr>
      <w:bookmarkStart w:id="4" w:name="_Hlk62246723"/>
      <w:r>
        <w:rPr>
          <w:rFonts w:cs="JSSJSM+·ÂËÎ_GB2312" w:hint="eastAsia"/>
          <w:color w:val="auto"/>
          <w:spacing w:val="9"/>
          <w:sz w:val="24"/>
        </w:rPr>
        <w:t>八</w:t>
      </w:r>
      <w:r w:rsidRPr="002B1FA2">
        <w:rPr>
          <w:rFonts w:cs="JSSJSM+·ÂËÎ_GB2312"/>
          <w:color w:val="auto"/>
          <w:spacing w:val="9"/>
          <w:sz w:val="24"/>
        </w:rPr>
        <w:t>、</w:t>
      </w:r>
      <w:r w:rsidRPr="005B0EF2">
        <w:rPr>
          <w:rFonts w:cs="JSSJSM+·ÂËÎ_GB2312" w:hint="eastAsia"/>
          <w:color w:val="auto"/>
          <w:sz w:val="24"/>
        </w:rPr>
        <w:t>科创板股票可能因触及退市情形被终止上市。被实施退市风险警示的科创板股票，存在投资者当日通过竞价交易、大宗交易和盘后固定价格交易累计买入的单只股票数量不超过50万股的限制。因触及交易类情形被终止上市的科创板股票，不进入退市整理期，上交所自上市公司公告股票终止上市决定之日起5个交易日内对其予以摘牌；科创板股票因触及重大违法类、财务类或者规范类情形被终止上市的，进入退市整理期交易15个交易日且首个交易日不设价格涨跌幅限制，上交所于该期限届满后5个交易日内对其予以摘牌。投资者应当充分了解科创板退市制度及相关规定，密切关注科创板股票退市相关风险，及时从符合中国证监会规定条件的媒体等渠道获取相关信息。</w:t>
      </w:r>
    </w:p>
    <w:bookmarkEnd w:id="4"/>
    <w:p w14:paraId="185D0007"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【表决权差异化风险】</w:t>
      </w:r>
    </w:p>
    <w:p w14:paraId="42D6CDCE" w14:textId="28AC51C0" w:rsidR="005B0EF2" w:rsidRPr="002B1FA2" w:rsidRDefault="001A2F9F" w:rsidP="005D0B35">
      <w:pPr>
        <w:spacing w:line="360" w:lineRule="auto"/>
        <w:ind w:firstLineChars="200" w:firstLine="516"/>
        <w:rPr>
          <w:color w:val="auto"/>
          <w:sz w:val="24"/>
        </w:rPr>
      </w:pPr>
      <w:bookmarkStart w:id="5" w:name="_Hlk62246751"/>
      <w:r>
        <w:rPr>
          <w:rFonts w:cs="JSSJSM+·ÂËÎ_GB2312" w:hint="eastAsia"/>
          <w:color w:val="auto"/>
          <w:spacing w:val="9"/>
          <w:sz w:val="24"/>
        </w:rPr>
        <w:t>九</w:t>
      </w:r>
      <w:r w:rsidR="005B0EF2" w:rsidRPr="002B1FA2">
        <w:rPr>
          <w:rFonts w:cs="JSSJSM+·ÂËÎ_GB2312"/>
          <w:color w:val="auto"/>
          <w:spacing w:val="9"/>
          <w:sz w:val="24"/>
        </w:rPr>
        <w:t>、科创板制度允许上市公司设置表决权差异安排。上市</w:t>
      </w:r>
      <w:r w:rsidR="005B0EF2" w:rsidRPr="002B1FA2">
        <w:rPr>
          <w:rFonts w:cs="JSSJSM+·ÂËÎ_GB2312"/>
          <w:color w:val="auto"/>
          <w:spacing w:val="8"/>
          <w:sz w:val="24"/>
        </w:rPr>
        <w:t>公司可能根据此项安排，存在控制权相对集中，以及因每一特别表决权股份拥有的表决权数量大于每一普通股份拥有的表决</w:t>
      </w:r>
      <w:r w:rsidR="005B0EF2" w:rsidRPr="002B1FA2">
        <w:rPr>
          <w:rFonts w:cs="MJBILM+·ÂËÎ_GB2312"/>
          <w:color w:val="auto"/>
          <w:spacing w:val="8"/>
          <w:sz w:val="24"/>
        </w:rPr>
        <w:t>权数量等情形，而使普通投资者的表决权利及对公司日常经营</w:t>
      </w:r>
      <w:r w:rsidR="005B0EF2" w:rsidRPr="002B1FA2">
        <w:rPr>
          <w:rFonts w:cs="MJBILM+·ÂËÎ_GB2312"/>
          <w:color w:val="auto"/>
          <w:sz w:val="24"/>
        </w:rPr>
        <w:t>等事务的影响力受到限制。</w:t>
      </w:r>
    </w:p>
    <w:p w14:paraId="45A239B1" w14:textId="3AEF65CE" w:rsidR="005B0EF2" w:rsidRPr="002B1FA2" w:rsidRDefault="001A2F9F" w:rsidP="005D0B35">
      <w:pPr>
        <w:spacing w:line="360" w:lineRule="auto"/>
        <w:ind w:firstLineChars="200" w:firstLine="468"/>
        <w:rPr>
          <w:color w:val="auto"/>
          <w:sz w:val="24"/>
        </w:rPr>
      </w:pPr>
      <w:r>
        <w:rPr>
          <w:rFonts w:cs="MJBILM+·ÂËÎ_GB2312" w:hint="eastAsia"/>
          <w:color w:val="auto"/>
          <w:spacing w:val="-3"/>
          <w:sz w:val="24"/>
        </w:rPr>
        <w:t>十</w:t>
      </w:r>
      <w:r w:rsidR="005B0EF2" w:rsidRPr="002B1FA2">
        <w:rPr>
          <w:rFonts w:cs="MJBILM+·ÂËÎ_GB2312"/>
          <w:color w:val="auto"/>
          <w:spacing w:val="-3"/>
          <w:sz w:val="24"/>
        </w:rPr>
        <w:t>、出现《上海证券交易所科创板股票上市规则》以及上市</w:t>
      </w:r>
      <w:r w:rsidR="005B0EF2" w:rsidRPr="002B1FA2">
        <w:rPr>
          <w:rFonts w:cs="MJBILM+·ÂËÎ_GB2312"/>
          <w:color w:val="auto"/>
          <w:spacing w:val="2"/>
          <w:sz w:val="24"/>
        </w:rPr>
        <w:t>公司章程规定的情形时，特别表决权股份将按</w:t>
      </w:r>
      <w:r w:rsidR="00250CF8">
        <w:rPr>
          <w:color w:val="auto"/>
          <w:sz w:val="24"/>
        </w:rPr>
        <w:t>1</w:t>
      </w:r>
      <w:r w:rsidR="00250CF8">
        <w:rPr>
          <w:rFonts w:hint="eastAsia"/>
          <w:color w:val="auto"/>
          <w:sz w:val="24"/>
        </w:rPr>
        <w:t>:</w:t>
      </w:r>
      <w:r w:rsidR="00250CF8">
        <w:rPr>
          <w:color w:val="auto"/>
          <w:sz w:val="24"/>
        </w:rPr>
        <w:t>1</w:t>
      </w:r>
      <w:r w:rsidR="00250CF8">
        <w:rPr>
          <w:rFonts w:hint="eastAsia"/>
          <w:color w:val="auto"/>
          <w:sz w:val="24"/>
        </w:rPr>
        <w:t>的</w:t>
      </w:r>
      <w:r w:rsidR="005B0EF2" w:rsidRPr="002B1FA2">
        <w:rPr>
          <w:rFonts w:cs="MJBILM+·ÂËÎ_GB2312"/>
          <w:color w:val="auto"/>
          <w:spacing w:val="2"/>
          <w:sz w:val="24"/>
        </w:rPr>
        <w:t>比例转换</w:t>
      </w:r>
      <w:r w:rsidR="005B0EF2" w:rsidRPr="002B1FA2">
        <w:rPr>
          <w:rFonts w:cs="MJBILM+·ÂËÎ_GB2312"/>
          <w:color w:val="auto"/>
          <w:spacing w:val="8"/>
          <w:sz w:val="24"/>
        </w:rPr>
        <w:t>为普通股份。股份转换自相关情形发生时即生效，并可能与相关股份转换登记时点存在差异。投资者需及时关注上市公司相</w:t>
      </w:r>
      <w:r w:rsidR="005B0EF2" w:rsidRPr="002B1FA2">
        <w:rPr>
          <w:rFonts w:cs="MJBILM+·ÂËÎ_GB2312"/>
          <w:color w:val="auto"/>
          <w:sz w:val="24"/>
        </w:rPr>
        <w:t>关公告，以了解特别表决权股份变动事宜。</w:t>
      </w:r>
    </w:p>
    <w:bookmarkEnd w:id="5"/>
    <w:p w14:paraId="7B8C1DAE"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w:t>
      </w:r>
      <w:r w:rsidRPr="002B1FA2">
        <w:rPr>
          <w:b/>
          <w:bCs/>
          <w:color w:val="auto"/>
          <w:sz w:val="24"/>
        </w:rPr>
        <w:t>股权激励制度</w:t>
      </w:r>
      <w:r w:rsidRPr="002B1FA2">
        <w:rPr>
          <w:rFonts w:hint="eastAsia"/>
          <w:b/>
          <w:bCs/>
          <w:color w:val="auto"/>
          <w:sz w:val="24"/>
        </w:rPr>
        <w:t>差异化风险】</w:t>
      </w:r>
    </w:p>
    <w:p w14:paraId="495B8902" w14:textId="0D217644" w:rsidR="005B0EF2" w:rsidRPr="002B1FA2" w:rsidRDefault="005B0EF2" w:rsidP="005D0B35">
      <w:pPr>
        <w:spacing w:line="360" w:lineRule="auto"/>
        <w:ind w:firstLineChars="200" w:firstLine="516"/>
        <w:rPr>
          <w:rFonts w:cs="MJBILM+·ÂËÎ_GB2312"/>
          <w:color w:val="auto"/>
          <w:sz w:val="24"/>
        </w:rPr>
      </w:pPr>
      <w:bookmarkStart w:id="6" w:name="_Hlk62246853"/>
      <w:r w:rsidRPr="002B1FA2">
        <w:rPr>
          <w:rFonts w:cs="MJBILM+·ÂËÎ_GB2312"/>
          <w:color w:val="auto"/>
          <w:spacing w:val="9"/>
          <w:sz w:val="24"/>
        </w:rPr>
        <w:t>十</w:t>
      </w:r>
      <w:r w:rsidR="001A2F9F">
        <w:rPr>
          <w:rFonts w:cs="MJBILM+·ÂËÎ_GB2312" w:hint="eastAsia"/>
          <w:color w:val="auto"/>
          <w:spacing w:val="9"/>
          <w:sz w:val="24"/>
        </w:rPr>
        <w:t>一</w:t>
      </w:r>
      <w:r w:rsidRPr="002B1FA2">
        <w:rPr>
          <w:rFonts w:cs="MJBILM+·ÂËÎ_GB2312"/>
          <w:color w:val="auto"/>
          <w:spacing w:val="9"/>
          <w:sz w:val="24"/>
        </w:rPr>
        <w:t>、相对于主板上市公司，科创板上市公司的股权激励制</w:t>
      </w:r>
      <w:r w:rsidRPr="002B1FA2">
        <w:rPr>
          <w:rFonts w:cs="MJBILM+·ÂËÎ_GB2312"/>
          <w:color w:val="auto"/>
          <w:spacing w:val="8"/>
          <w:sz w:val="24"/>
        </w:rPr>
        <w:t>度更为灵</w:t>
      </w:r>
      <w:r w:rsidRPr="002B1FA2">
        <w:rPr>
          <w:rFonts w:cs="MJBILM+·ÂËÎ_GB2312"/>
          <w:color w:val="auto"/>
          <w:spacing w:val="8"/>
          <w:sz w:val="24"/>
        </w:rPr>
        <w:lastRenderedPageBreak/>
        <w:t>活，包括股权激励计划所涉及的股票比例上限和对象有所扩大、价格条款更为灵活、实施方式更为便利。实施该等股权激励制度安排可能导致公司实际上市交易的股票数量超过</w:t>
      </w:r>
      <w:r w:rsidRPr="002B1FA2">
        <w:rPr>
          <w:rFonts w:cs="MJBILM+·ÂËÎ_GB2312"/>
          <w:color w:val="auto"/>
          <w:sz w:val="24"/>
        </w:rPr>
        <w:t>首次公开发行时的数量。</w:t>
      </w:r>
    </w:p>
    <w:bookmarkEnd w:id="6"/>
    <w:p w14:paraId="57A3E1AD" w14:textId="77777777" w:rsidR="005B0EF2" w:rsidRPr="002B1FA2" w:rsidRDefault="005B0EF2" w:rsidP="005D0B35">
      <w:pPr>
        <w:spacing w:line="360" w:lineRule="auto"/>
        <w:ind w:firstLineChars="200" w:firstLine="518"/>
        <w:rPr>
          <w:rFonts w:cs="EIFMCN+·ÂËÎ_GB2312"/>
          <w:b/>
          <w:color w:val="auto"/>
          <w:spacing w:val="9"/>
          <w:sz w:val="24"/>
        </w:rPr>
      </w:pPr>
      <w:r w:rsidRPr="002B1FA2">
        <w:rPr>
          <w:rFonts w:cs="EIFMCN+·ÂËÎ_GB2312" w:hint="eastAsia"/>
          <w:b/>
          <w:color w:val="auto"/>
          <w:spacing w:val="9"/>
          <w:sz w:val="24"/>
        </w:rPr>
        <w:t>【股价大幅波动风险】</w:t>
      </w:r>
    </w:p>
    <w:p w14:paraId="45157C6B" w14:textId="675DBC56" w:rsidR="005B0EF2" w:rsidRPr="002B1FA2" w:rsidRDefault="005B0EF2" w:rsidP="005D0B35">
      <w:pPr>
        <w:spacing w:line="360" w:lineRule="auto"/>
        <w:ind w:firstLineChars="200" w:firstLine="516"/>
        <w:rPr>
          <w:rFonts w:cs="EIFMCN+·ÂËÎ_GB2312"/>
          <w:color w:val="auto"/>
          <w:spacing w:val="9"/>
          <w:sz w:val="24"/>
        </w:rPr>
      </w:pPr>
      <w:bookmarkStart w:id="7" w:name="_Hlk62246868"/>
      <w:r w:rsidRPr="002B1FA2">
        <w:rPr>
          <w:rFonts w:cs="EIFMCN+·ÂËÎ_GB2312"/>
          <w:color w:val="auto"/>
          <w:spacing w:val="9"/>
          <w:sz w:val="24"/>
        </w:rPr>
        <w:t>十</w:t>
      </w:r>
      <w:r w:rsidR="001A2F9F">
        <w:rPr>
          <w:rFonts w:cs="EIFMCN+·ÂËÎ_GB2312" w:hint="eastAsia"/>
          <w:color w:val="auto"/>
          <w:spacing w:val="9"/>
          <w:sz w:val="24"/>
        </w:rPr>
        <w:t>二</w:t>
      </w:r>
      <w:r w:rsidRPr="002B1FA2">
        <w:rPr>
          <w:rFonts w:cs="EIFMCN+·ÂËÎ_GB2312"/>
          <w:color w:val="auto"/>
          <w:spacing w:val="9"/>
          <w:sz w:val="24"/>
        </w:rPr>
        <w:t>、科创板股票竞价交易设置较宽的涨跌幅限制，首次公开发行上市的股票，上市后的前</w:t>
      </w:r>
      <w:r w:rsidR="00250CF8">
        <w:rPr>
          <w:rFonts w:cs="EIFMCN+·ÂËÎ_GB2312"/>
          <w:color w:val="auto"/>
          <w:spacing w:val="9"/>
          <w:sz w:val="24"/>
        </w:rPr>
        <w:t>5</w:t>
      </w:r>
      <w:r w:rsidR="00250CF8">
        <w:rPr>
          <w:rFonts w:cs="EIFMCN+·ÂËÎ_GB2312" w:hint="eastAsia"/>
          <w:color w:val="auto"/>
          <w:spacing w:val="9"/>
          <w:sz w:val="24"/>
        </w:rPr>
        <w:t>个</w:t>
      </w:r>
      <w:r w:rsidRPr="002B1FA2">
        <w:rPr>
          <w:rFonts w:cs="EIFMCN+·ÂËÎ_GB2312"/>
          <w:color w:val="auto"/>
          <w:spacing w:val="9"/>
          <w:sz w:val="24"/>
        </w:rPr>
        <w:t>交易日不设涨跌幅限制，其后涨跌幅限制为20%，投资者应当关注可能产生的股价波动的风险。</w:t>
      </w:r>
    </w:p>
    <w:bookmarkEnd w:id="7"/>
    <w:p w14:paraId="6452F527"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w:t>
      </w:r>
      <w:r w:rsidRPr="002B1FA2">
        <w:rPr>
          <w:b/>
          <w:bCs/>
          <w:color w:val="auto"/>
          <w:sz w:val="24"/>
        </w:rPr>
        <w:t>做市商机制</w:t>
      </w:r>
      <w:r w:rsidRPr="002B1FA2">
        <w:rPr>
          <w:rFonts w:hint="eastAsia"/>
          <w:b/>
          <w:bCs/>
          <w:color w:val="auto"/>
          <w:sz w:val="24"/>
        </w:rPr>
        <w:t>相关风险】</w:t>
      </w:r>
    </w:p>
    <w:p w14:paraId="5D93C2AA" w14:textId="67CD85ED" w:rsidR="005B0EF2" w:rsidRPr="002B1FA2" w:rsidRDefault="005B0EF2" w:rsidP="005D0B35">
      <w:pPr>
        <w:spacing w:line="360" w:lineRule="auto"/>
        <w:ind w:firstLineChars="200" w:firstLine="516"/>
        <w:rPr>
          <w:color w:val="auto"/>
          <w:sz w:val="24"/>
        </w:rPr>
      </w:pPr>
      <w:bookmarkStart w:id="8" w:name="_Hlk62246875"/>
      <w:r w:rsidRPr="002B1FA2">
        <w:rPr>
          <w:rFonts w:cs="MJBILM+·ÂËÎ_GB2312"/>
          <w:color w:val="auto"/>
          <w:spacing w:val="9"/>
          <w:sz w:val="24"/>
        </w:rPr>
        <w:t>十</w:t>
      </w:r>
      <w:r w:rsidR="001A2F9F">
        <w:rPr>
          <w:rFonts w:cs="MJBILM+·ÂËÎ_GB2312" w:hint="eastAsia"/>
          <w:color w:val="auto"/>
          <w:spacing w:val="9"/>
          <w:sz w:val="24"/>
        </w:rPr>
        <w:t>三</w:t>
      </w:r>
      <w:r w:rsidRPr="002B1FA2">
        <w:rPr>
          <w:rFonts w:cs="MJBILM+·ÂËÎ_GB2312"/>
          <w:color w:val="auto"/>
          <w:spacing w:val="9"/>
          <w:sz w:val="24"/>
        </w:rPr>
        <w:t>、科创板在条件成熟时将引入做市商机制，请投资者</w:t>
      </w:r>
      <w:r w:rsidRPr="002B1FA2">
        <w:rPr>
          <w:rFonts w:cs="MJBILM+·ÂËÎ_GB2312"/>
          <w:color w:val="auto"/>
          <w:sz w:val="24"/>
        </w:rPr>
        <w:t>及时关注相关事项。</w:t>
      </w:r>
    </w:p>
    <w:bookmarkEnd w:id="8"/>
    <w:p w14:paraId="089FEA5F"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【股票交易特别规定相关风险】</w:t>
      </w:r>
    </w:p>
    <w:p w14:paraId="79EF0697" w14:textId="22720417" w:rsidR="005B0EF2" w:rsidRPr="002B1FA2" w:rsidRDefault="005B0EF2" w:rsidP="005D0B35">
      <w:pPr>
        <w:spacing w:line="360" w:lineRule="auto"/>
        <w:ind w:firstLineChars="200" w:firstLine="516"/>
        <w:rPr>
          <w:color w:val="auto"/>
          <w:sz w:val="24"/>
        </w:rPr>
      </w:pPr>
      <w:r w:rsidRPr="002B1FA2">
        <w:rPr>
          <w:rFonts w:cs="MJBILM+·ÂËÎ_GB2312"/>
          <w:color w:val="auto"/>
          <w:spacing w:val="9"/>
          <w:sz w:val="24"/>
        </w:rPr>
        <w:t>十</w:t>
      </w:r>
      <w:r w:rsidR="001A2F9F">
        <w:rPr>
          <w:rFonts w:cs="MJBILM+·ÂËÎ_GB2312" w:hint="eastAsia"/>
          <w:color w:val="auto"/>
          <w:spacing w:val="9"/>
          <w:sz w:val="24"/>
        </w:rPr>
        <w:t>四</w:t>
      </w:r>
      <w:r w:rsidRPr="002B1FA2">
        <w:rPr>
          <w:rFonts w:cs="MJBILM+·ÂËÎ_GB2312"/>
          <w:color w:val="auto"/>
          <w:spacing w:val="9"/>
          <w:sz w:val="24"/>
        </w:rPr>
        <w:t>、投资者需关注科创板股票交易的单笔申报数量、最</w:t>
      </w:r>
      <w:r w:rsidRPr="002B1FA2">
        <w:rPr>
          <w:rFonts w:cs="MJBILM+·ÂËÎ_GB2312"/>
          <w:color w:val="auto"/>
          <w:spacing w:val="8"/>
          <w:sz w:val="24"/>
        </w:rPr>
        <w:t>小价格变动单位、有效申报价格范围等与上交所主板市场股票</w:t>
      </w:r>
      <w:r w:rsidRPr="002B1FA2">
        <w:rPr>
          <w:rFonts w:cs="MJBILM+·ÂËÎ_GB2312"/>
          <w:color w:val="auto"/>
          <w:sz w:val="24"/>
        </w:rPr>
        <w:t>交易存在差异，避免产生无效申报。</w:t>
      </w:r>
    </w:p>
    <w:p w14:paraId="61DCC504" w14:textId="1A1142D4" w:rsidR="005B0EF2" w:rsidRDefault="005B0EF2" w:rsidP="005D0B35">
      <w:pPr>
        <w:spacing w:line="360" w:lineRule="auto"/>
        <w:ind w:firstLineChars="200" w:firstLine="468"/>
        <w:rPr>
          <w:rFonts w:cs="EIFMCN+·ÂËÎ_GB2312"/>
          <w:color w:val="auto"/>
          <w:sz w:val="24"/>
        </w:rPr>
      </w:pPr>
      <w:r w:rsidRPr="002B1FA2">
        <w:rPr>
          <w:rFonts w:cs="MJBILM+·ÂËÎ_GB2312"/>
          <w:color w:val="auto"/>
          <w:spacing w:val="-3"/>
          <w:sz w:val="24"/>
        </w:rPr>
        <w:t>十</w:t>
      </w:r>
      <w:r w:rsidR="001A2F9F">
        <w:rPr>
          <w:rFonts w:cs="MJBILM+·ÂËÎ_GB2312" w:hint="eastAsia"/>
          <w:color w:val="auto"/>
          <w:spacing w:val="-3"/>
          <w:sz w:val="24"/>
        </w:rPr>
        <w:t>五</w:t>
      </w:r>
      <w:r w:rsidRPr="002B1FA2">
        <w:rPr>
          <w:rFonts w:cs="MJBILM+·ÂËÎ_GB2312"/>
          <w:color w:val="auto"/>
          <w:spacing w:val="-3"/>
          <w:sz w:val="24"/>
        </w:rPr>
        <w:t>、投资者需关注科创板股票交易方式包括竞价交易、盘后固定价格交易及大宗交易，不同交易方式的交易时间、申报要</w:t>
      </w:r>
      <w:r w:rsidRPr="002B1FA2">
        <w:rPr>
          <w:rFonts w:cs="EIFMCN+·ÂËÎ_GB2312"/>
          <w:color w:val="auto"/>
          <w:spacing w:val="-3"/>
          <w:sz w:val="24"/>
        </w:rPr>
        <w:t>求、成交原则等存在差异。科创板股票大宗交易，不适用上交所</w:t>
      </w:r>
      <w:r w:rsidRPr="002B1FA2">
        <w:rPr>
          <w:rFonts w:cs="EIFMCN+·ÂËÎ_GB2312"/>
          <w:color w:val="auto"/>
          <w:sz w:val="24"/>
        </w:rPr>
        <w:t>主板市场股票大宗交易中固定价格申报的相关规定。</w:t>
      </w:r>
    </w:p>
    <w:p w14:paraId="020B5A45" w14:textId="090A6A2E" w:rsidR="00250CF8" w:rsidRPr="001A2F9F" w:rsidRDefault="00250CF8" w:rsidP="005D0B35">
      <w:pPr>
        <w:spacing w:line="360" w:lineRule="auto"/>
        <w:ind w:firstLineChars="200" w:firstLine="468"/>
        <w:rPr>
          <w:rFonts w:cs="MJBILM+·ÂËÎ_GB2312"/>
          <w:color w:val="auto"/>
          <w:spacing w:val="-3"/>
          <w:sz w:val="24"/>
        </w:rPr>
      </w:pPr>
      <w:r w:rsidRPr="001A2F9F">
        <w:rPr>
          <w:rFonts w:cs="MJBILM+·ÂËÎ_GB2312" w:hint="eastAsia"/>
          <w:color w:val="auto"/>
          <w:spacing w:val="-3"/>
          <w:sz w:val="24"/>
        </w:rPr>
        <w:t>十</w:t>
      </w:r>
      <w:r w:rsidR="001A2F9F">
        <w:rPr>
          <w:rFonts w:cs="MJBILM+·ÂËÎ_GB2312" w:hint="eastAsia"/>
          <w:color w:val="auto"/>
          <w:spacing w:val="-3"/>
          <w:sz w:val="24"/>
        </w:rPr>
        <w:t>六</w:t>
      </w:r>
      <w:r w:rsidRPr="001A2F9F">
        <w:rPr>
          <w:rFonts w:cs="MJBILM+·ÂËÎ_GB2312" w:hint="eastAsia"/>
          <w:color w:val="auto"/>
          <w:spacing w:val="-3"/>
          <w:sz w:val="24"/>
        </w:rPr>
        <w:t>、科创板股票上市首日即可作为融资融券标的，与上交所主板市场存在差异，投资者应注意相关风险。</w:t>
      </w:r>
    </w:p>
    <w:p w14:paraId="6D7F1586" w14:textId="34CAAD10" w:rsidR="005B0EF2" w:rsidRPr="00A96A5D" w:rsidRDefault="005B0EF2" w:rsidP="005D0B35">
      <w:pPr>
        <w:widowControl/>
        <w:spacing w:line="360" w:lineRule="auto"/>
        <w:ind w:firstLineChars="200" w:firstLine="480"/>
        <w:rPr>
          <w:rFonts w:cs="宋体"/>
          <w:color w:val="auto"/>
          <w:sz w:val="24"/>
        </w:rPr>
      </w:pPr>
      <w:r w:rsidRPr="00A96A5D">
        <w:rPr>
          <w:rFonts w:cs="宋体" w:hint="eastAsia"/>
          <w:color w:val="auto"/>
          <w:kern w:val="0"/>
          <w:sz w:val="24"/>
        </w:rPr>
        <w:t>十</w:t>
      </w:r>
      <w:r w:rsidR="001A2F9F" w:rsidRPr="00A96A5D">
        <w:rPr>
          <w:rFonts w:cs="宋体" w:hint="eastAsia"/>
          <w:color w:val="auto"/>
          <w:kern w:val="0"/>
          <w:sz w:val="24"/>
        </w:rPr>
        <w:t>七</w:t>
      </w:r>
      <w:r w:rsidRPr="00A96A5D">
        <w:rPr>
          <w:rFonts w:cs="宋体" w:hint="eastAsia"/>
          <w:color w:val="auto"/>
          <w:kern w:val="0"/>
          <w:sz w:val="24"/>
        </w:rPr>
        <w:t>、</w:t>
      </w:r>
      <w:r w:rsidRPr="00A96A5D">
        <w:rPr>
          <w:rFonts w:cs="宋体" w:hint="eastAsia"/>
          <w:color w:val="auto"/>
          <w:sz w:val="24"/>
        </w:rPr>
        <w:t>科创板股票连续竞价阶段提交买卖限价申报价格，应不高于（低于）买入（卖出）基准价格的102%（98%）。</w:t>
      </w:r>
    </w:p>
    <w:p w14:paraId="3F69A52C" w14:textId="5E5E11AF" w:rsidR="005B0EF2" w:rsidRPr="00A96A5D" w:rsidRDefault="005B0EF2" w:rsidP="005D0B35">
      <w:pPr>
        <w:widowControl/>
        <w:spacing w:line="360" w:lineRule="auto"/>
        <w:ind w:firstLineChars="200" w:firstLine="480"/>
        <w:rPr>
          <w:rFonts w:cs="宋体"/>
          <w:color w:val="auto"/>
          <w:sz w:val="24"/>
        </w:rPr>
      </w:pPr>
      <w:r w:rsidRPr="00A96A5D">
        <w:rPr>
          <w:rFonts w:cs="宋体" w:hint="eastAsia"/>
          <w:color w:val="auto"/>
          <w:sz w:val="24"/>
        </w:rPr>
        <w:t>本条所称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59D93C5E" w14:textId="0E628E5A" w:rsidR="001A2F9F" w:rsidRPr="001A2F9F" w:rsidRDefault="001A2F9F" w:rsidP="005D0B35">
      <w:pPr>
        <w:spacing w:line="360" w:lineRule="auto"/>
        <w:ind w:firstLineChars="200" w:firstLine="468"/>
        <w:rPr>
          <w:rFonts w:cs="宋体"/>
          <w:color w:val="auto"/>
          <w:kern w:val="0"/>
          <w:sz w:val="24"/>
          <w:highlight w:val="yellow"/>
        </w:rPr>
      </w:pPr>
      <w:r w:rsidRPr="001A2F9F">
        <w:rPr>
          <w:rFonts w:cs="MJBILM+·ÂËÎ_GB2312" w:hint="eastAsia"/>
          <w:color w:val="auto"/>
          <w:spacing w:val="-3"/>
          <w:sz w:val="24"/>
        </w:rPr>
        <w:t>十</w:t>
      </w:r>
      <w:r>
        <w:rPr>
          <w:rFonts w:cs="MJBILM+·ÂËÎ_GB2312" w:hint="eastAsia"/>
          <w:color w:val="auto"/>
          <w:spacing w:val="-3"/>
          <w:sz w:val="24"/>
        </w:rPr>
        <w:t>八</w:t>
      </w:r>
      <w:r w:rsidRPr="001A2F9F">
        <w:rPr>
          <w:rFonts w:cs="MJBILM+·ÂËÎ_GB2312" w:hint="eastAsia"/>
          <w:color w:val="auto"/>
          <w:spacing w:val="-3"/>
          <w:sz w:val="24"/>
        </w:rPr>
        <w:t>、科创板股票交易盘中临时停牌情形和严重异常波动股票核查制度与上交所主板市场规定不同，投资者应当关注与此相关的风险。</w:t>
      </w:r>
    </w:p>
    <w:p w14:paraId="3963F7B4" w14:textId="77777777" w:rsidR="005B0EF2" w:rsidRPr="002B1FA2" w:rsidRDefault="005B0EF2" w:rsidP="005D0B35">
      <w:pPr>
        <w:spacing w:line="360" w:lineRule="auto"/>
        <w:ind w:firstLineChars="200" w:firstLine="482"/>
        <w:rPr>
          <w:b/>
          <w:bCs/>
          <w:color w:val="auto"/>
          <w:sz w:val="24"/>
        </w:rPr>
      </w:pPr>
      <w:r w:rsidRPr="002B1FA2">
        <w:rPr>
          <w:rFonts w:hint="eastAsia"/>
          <w:b/>
          <w:bCs/>
          <w:color w:val="auto"/>
          <w:sz w:val="24"/>
        </w:rPr>
        <w:t>【</w:t>
      </w:r>
      <w:r w:rsidRPr="002B1FA2">
        <w:rPr>
          <w:rFonts w:cs="EIFMCN+·ÂËÎ_GB2312"/>
          <w:b/>
          <w:color w:val="auto"/>
          <w:spacing w:val="9"/>
          <w:sz w:val="24"/>
        </w:rPr>
        <w:t>上市</w:t>
      </w:r>
      <w:r w:rsidRPr="002B1FA2">
        <w:rPr>
          <w:b/>
          <w:bCs/>
          <w:color w:val="auto"/>
          <w:sz w:val="24"/>
        </w:rPr>
        <w:t>红筹企业</w:t>
      </w:r>
      <w:r w:rsidRPr="002B1FA2">
        <w:rPr>
          <w:rFonts w:hint="eastAsia"/>
          <w:b/>
          <w:bCs/>
          <w:color w:val="auto"/>
          <w:sz w:val="24"/>
        </w:rPr>
        <w:t>相关风险】</w:t>
      </w:r>
    </w:p>
    <w:p w14:paraId="4B227BCC" w14:textId="718ABC14" w:rsidR="005B0EF2" w:rsidRPr="002B1FA2" w:rsidRDefault="005B0EF2" w:rsidP="005D0B35">
      <w:pPr>
        <w:spacing w:line="360" w:lineRule="auto"/>
        <w:ind w:firstLineChars="200" w:firstLine="516"/>
        <w:rPr>
          <w:color w:val="auto"/>
          <w:sz w:val="24"/>
        </w:rPr>
      </w:pPr>
      <w:r w:rsidRPr="002B1FA2">
        <w:rPr>
          <w:rFonts w:cs="EIFMCN+·ÂËÎ_GB2312"/>
          <w:color w:val="auto"/>
          <w:spacing w:val="9"/>
          <w:sz w:val="24"/>
        </w:rPr>
        <w:t>十</w:t>
      </w:r>
      <w:r w:rsidR="001A2F9F">
        <w:rPr>
          <w:rFonts w:cs="EIFMCN+·ÂËÎ_GB2312" w:hint="eastAsia"/>
          <w:color w:val="auto"/>
          <w:spacing w:val="9"/>
          <w:sz w:val="24"/>
        </w:rPr>
        <w:t>九</w:t>
      </w:r>
      <w:r w:rsidRPr="002B1FA2">
        <w:rPr>
          <w:rFonts w:cs="EIFMCN+·ÂËÎ_GB2312"/>
          <w:color w:val="auto"/>
          <w:spacing w:val="9"/>
          <w:sz w:val="24"/>
        </w:rPr>
        <w:t>、</w:t>
      </w:r>
      <w:bookmarkStart w:id="9" w:name="_Hlk62247073"/>
      <w:r w:rsidRPr="002B1FA2">
        <w:rPr>
          <w:rFonts w:cs="EIFMCN+·ÂËÎ_GB2312"/>
          <w:color w:val="auto"/>
          <w:spacing w:val="9"/>
          <w:sz w:val="24"/>
        </w:rPr>
        <w:t>符合相关规定的红筹企业可以在科创板上市。红筹</w:t>
      </w:r>
      <w:r w:rsidRPr="002B1FA2">
        <w:rPr>
          <w:rFonts w:cs="EIFMCN+·ÂËÎ_GB2312"/>
          <w:color w:val="auto"/>
          <w:spacing w:val="8"/>
          <w:sz w:val="24"/>
        </w:rPr>
        <w:t>企业在境外</w:t>
      </w:r>
      <w:r w:rsidRPr="002B1FA2">
        <w:rPr>
          <w:rFonts w:cs="EIFMCN+·ÂËÎ_GB2312"/>
          <w:color w:val="auto"/>
          <w:spacing w:val="8"/>
          <w:sz w:val="24"/>
        </w:rPr>
        <w:lastRenderedPageBreak/>
        <w:t>注册，可能采用协议控制架构，在信息披露、分红派息等方面可能与境内上市公司存在差异。红筹公司注册地、</w:t>
      </w:r>
      <w:r w:rsidRPr="002B1FA2">
        <w:rPr>
          <w:rFonts w:cs="EIFMCN+·ÂËÎ_GB2312"/>
          <w:color w:val="auto"/>
          <w:spacing w:val="2"/>
          <w:sz w:val="24"/>
        </w:rPr>
        <w:t>境外上市地等地法律法规对当地投资者提供的保护</w:t>
      </w:r>
      <w:r w:rsidRPr="002B1FA2">
        <w:rPr>
          <w:color w:val="auto"/>
          <w:spacing w:val="1"/>
          <w:sz w:val="24"/>
        </w:rPr>
        <w:t>,</w:t>
      </w:r>
      <w:r w:rsidRPr="002B1FA2">
        <w:rPr>
          <w:rFonts w:cs="EIFMCN+·ÂËÎ_GB2312"/>
          <w:color w:val="auto"/>
          <w:spacing w:val="2"/>
          <w:sz w:val="24"/>
        </w:rPr>
        <w:t>可能与境内</w:t>
      </w:r>
      <w:r w:rsidRPr="002B1FA2">
        <w:rPr>
          <w:rFonts w:cs="EIFMCN+·ÂËÎ_GB2312"/>
          <w:color w:val="auto"/>
          <w:sz w:val="24"/>
        </w:rPr>
        <w:t>法律为境内投资者提供的保护存在差异。</w:t>
      </w:r>
      <w:bookmarkEnd w:id="9"/>
    </w:p>
    <w:p w14:paraId="04F41EEC" w14:textId="23F589A0" w:rsidR="005B0EF2" w:rsidRPr="002B1FA2" w:rsidRDefault="001A2F9F" w:rsidP="005D0B35">
      <w:pPr>
        <w:spacing w:line="360" w:lineRule="auto"/>
        <w:ind w:firstLineChars="200" w:firstLine="516"/>
        <w:rPr>
          <w:rFonts w:cs="EIFMCN+·ÂËÎ_GB2312"/>
          <w:color w:val="auto"/>
          <w:sz w:val="24"/>
        </w:rPr>
      </w:pPr>
      <w:r>
        <w:rPr>
          <w:rFonts w:cs="EIFMCN+·ÂËÎ_GB2312" w:hint="eastAsia"/>
          <w:color w:val="auto"/>
          <w:spacing w:val="9"/>
          <w:sz w:val="24"/>
        </w:rPr>
        <w:t>二</w:t>
      </w:r>
      <w:r w:rsidR="005B0EF2" w:rsidRPr="002B1FA2">
        <w:rPr>
          <w:rFonts w:cs="EIFMCN+·ÂËÎ_GB2312"/>
          <w:color w:val="auto"/>
          <w:spacing w:val="9"/>
          <w:sz w:val="24"/>
        </w:rPr>
        <w:t>十、</w:t>
      </w:r>
      <w:bookmarkStart w:id="10" w:name="_Hlk62247093"/>
      <w:r w:rsidR="005B0EF2" w:rsidRPr="002B1FA2">
        <w:rPr>
          <w:rFonts w:cs="EIFMCN+·ÂËÎ_GB2312"/>
          <w:color w:val="auto"/>
          <w:spacing w:val="9"/>
          <w:sz w:val="24"/>
        </w:rPr>
        <w:t>红筹企业可以发行股票或存托凭证在科创板上市。</w:t>
      </w:r>
      <w:r w:rsidR="005B0EF2" w:rsidRPr="002B1FA2">
        <w:rPr>
          <w:rFonts w:cs="EIFMCN+·ÂËÎ_GB2312"/>
          <w:color w:val="auto"/>
          <w:spacing w:val="2"/>
          <w:sz w:val="24"/>
        </w:rPr>
        <w:t>存托凭证由存托人签发、以境外证券为基础在中国境内发行</w:t>
      </w:r>
      <w:r w:rsidR="005B0EF2" w:rsidRPr="002B1FA2">
        <w:rPr>
          <w:color w:val="auto"/>
          <w:spacing w:val="1"/>
          <w:sz w:val="24"/>
        </w:rPr>
        <w:t>,</w:t>
      </w:r>
      <w:r w:rsidR="005B0EF2" w:rsidRPr="002B1FA2">
        <w:rPr>
          <w:rFonts w:cs="EIFMCN+·ÂËÎ_GB2312"/>
          <w:color w:val="auto"/>
          <w:sz w:val="24"/>
        </w:rPr>
        <w:t>代</w:t>
      </w:r>
      <w:r w:rsidR="005B0EF2" w:rsidRPr="002B1FA2">
        <w:rPr>
          <w:rFonts w:cs="EIFMCN+·ÂËÎ_GB2312"/>
          <w:color w:val="auto"/>
          <w:spacing w:val="8"/>
          <w:sz w:val="24"/>
        </w:rPr>
        <w:t>表境外基础证券权益。红筹公司存托凭证持有人实际享有的权</w:t>
      </w:r>
      <w:r w:rsidR="005B0EF2" w:rsidRPr="002B1FA2">
        <w:rPr>
          <w:rFonts w:cs="EIFMCN+·ÂËÎ_GB2312"/>
          <w:color w:val="auto"/>
          <w:spacing w:val="2"/>
          <w:sz w:val="24"/>
        </w:rPr>
        <w:t>益与境外基础证券持有人的权益虽然基本相当</w:t>
      </w:r>
      <w:r w:rsidR="005B0EF2" w:rsidRPr="002B1FA2">
        <w:rPr>
          <w:color w:val="auto"/>
          <w:spacing w:val="1"/>
          <w:sz w:val="24"/>
        </w:rPr>
        <w:t>,</w:t>
      </w:r>
      <w:r w:rsidR="005B0EF2" w:rsidRPr="002B1FA2">
        <w:rPr>
          <w:rFonts w:cs="EIFMCN+·ÂËÎ_GB2312"/>
          <w:color w:val="auto"/>
          <w:spacing w:val="2"/>
          <w:sz w:val="24"/>
        </w:rPr>
        <w:t>但并不能等同于</w:t>
      </w:r>
      <w:r w:rsidR="005B0EF2" w:rsidRPr="002B1FA2">
        <w:rPr>
          <w:rFonts w:cs="EIFMCN+·ÂËÎ_GB2312"/>
          <w:color w:val="auto"/>
          <w:spacing w:val="8"/>
          <w:sz w:val="24"/>
        </w:rPr>
        <w:t>直接持有境外基础证券。投资者应当充分知悉存托协议和相关规则的具体内容，了解并接受在交易和持有红筹公司股票或存</w:t>
      </w:r>
      <w:r w:rsidR="005B0EF2" w:rsidRPr="002B1FA2">
        <w:rPr>
          <w:rFonts w:cs="EIFMCN+·ÂËÎ_GB2312"/>
          <w:color w:val="auto"/>
          <w:sz w:val="24"/>
        </w:rPr>
        <w:t>托凭证过程中可能存在的风险。</w:t>
      </w:r>
      <w:bookmarkEnd w:id="10"/>
    </w:p>
    <w:p w14:paraId="24530719" w14:textId="77777777" w:rsidR="005B0EF2" w:rsidRPr="002B1FA2" w:rsidRDefault="005B0EF2" w:rsidP="005D0B35">
      <w:pPr>
        <w:spacing w:line="360" w:lineRule="auto"/>
        <w:ind w:firstLineChars="200" w:firstLine="482"/>
        <w:rPr>
          <w:color w:val="auto"/>
          <w:sz w:val="24"/>
        </w:rPr>
      </w:pPr>
      <w:r w:rsidRPr="002B1FA2">
        <w:rPr>
          <w:rFonts w:hint="eastAsia"/>
          <w:b/>
          <w:bCs/>
          <w:color w:val="auto"/>
          <w:sz w:val="24"/>
        </w:rPr>
        <w:t>【</w:t>
      </w:r>
      <w:r w:rsidRPr="002B1FA2">
        <w:rPr>
          <w:rFonts w:cs="EIFMCN+·ÂËÎ_GB2312" w:hint="eastAsia"/>
          <w:b/>
          <w:color w:val="auto"/>
          <w:spacing w:val="9"/>
          <w:sz w:val="24"/>
        </w:rPr>
        <w:t>其他</w:t>
      </w:r>
      <w:r w:rsidRPr="002B1FA2">
        <w:rPr>
          <w:rFonts w:hint="eastAsia"/>
          <w:b/>
          <w:bCs/>
          <w:color w:val="auto"/>
          <w:sz w:val="24"/>
        </w:rPr>
        <w:t>】</w:t>
      </w:r>
    </w:p>
    <w:p w14:paraId="204408E0" w14:textId="6854A4CB" w:rsidR="005B0EF2" w:rsidRPr="002B1FA2" w:rsidRDefault="001A2F9F" w:rsidP="005D0B35">
      <w:pPr>
        <w:spacing w:line="360" w:lineRule="auto"/>
        <w:ind w:firstLineChars="200" w:firstLine="516"/>
        <w:rPr>
          <w:color w:val="auto"/>
          <w:sz w:val="24"/>
        </w:rPr>
      </w:pPr>
      <w:r>
        <w:rPr>
          <w:rFonts w:cs="EIFMCN+·ÂËÎ_GB2312" w:hint="eastAsia"/>
          <w:color w:val="auto"/>
          <w:spacing w:val="9"/>
          <w:sz w:val="24"/>
        </w:rPr>
        <w:t>二十一</w:t>
      </w:r>
      <w:r w:rsidR="005B0EF2" w:rsidRPr="002B1FA2">
        <w:rPr>
          <w:rFonts w:cs="EIFMCN+·ÂËÎ_GB2312"/>
          <w:color w:val="auto"/>
          <w:spacing w:val="9"/>
          <w:sz w:val="24"/>
        </w:rPr>
        <w:t>、科创板股票相关</w:t>
      </w:r>
      <w:r w:rsidR="005B0EF2" w:rsidRPr="002B1FA2">
        <w:rPr>
          <w:rFonts w:cs="EIFMCN+·ÂËÎ_GB2312"/>
          <w:color w:val="auto"/>
          <w:spacing w:val="-3"/>
          <w:sz w:val="24"/>
        </w:rPr>
        <w:t>法律法规和交易所业务规则，可能根据市场</w:t>
      </w:r>
      <w:r w:rsidR="005B0EF2" w:rsidRPr="002B1FA2">
        <w:rPr>
          <w:rFonts w:cs="EIFMCN+·ÂËÎ_GB2312"/>
          <w:color w:val="auto"/>
          <w:spacing w:val="8"/>
          <w:sz w:val="24"/>
        </w:rPr>
        <w:t>情况进行修改，或者制定新的法律法规和业务规则，投资者应</w:t>
      </w:r>
      <w:r w:rsidR="005B0EF2" w:rsidRPr="002B1FA2">
        <w:rPr>
          <w:rFonts w:cs="VPEKLP+·ÂËÎ_GB2312"/>
          <w:color w:val="auto"/>
          <w:sz w:val="24"/>
        </w:rPr>
        <w:t>当及时予以关注和了解。</w:t>
      </w:r>
    </w:p>
    <w:p w14:paraId="6D153517" w14:textId="1242EF8B" w:rsidR="005B0EF2" w:rsidRPr="002B1FA2" w:rsidRDefault="005B0EF2" w:rsidP="005D0B35">
      <w:pPr>
        <w:widowControl/>
        <w:spacing w:line="360" w:lineRule="auto"/>
        <w:ind w:firstLineChars="200" w:firstLine="516"/>
        <w:rPr>
          <w:rFonts w:cs="宋体"/>
          <w:color w:val="auto"/>
          <w:spacing w:val="9"/>
          <w:kern w:val="0"/>
          <w:sz w:val="24"/>
        </w:rPr>
      </w:pPr>
      <w:r w:rsidRPr="002B1FA2">
        <w:rPr>
          <w:rFonts w:cs="宋体" w:hint="eastAsia"/>
          <w:color w:val="auto"/>
          <w:spacing w:val="9"/>
          <w:kern w:val="0"/>
          <w:sz w:val="24"/>
        </w:rPr>
        <w:t>二十</w:t>
      </w:r>
      <w:r w:rsidR="001A2F9F">
        <w:rPr>
          <w:rFonts w:cs="宋体" w:hint="eastAsia"/>
          <w:color w:val="auto"/>
          <w:spacing w:val="9"/>
          <w:kern w:val="0"/>
          <w:sz w:val="24"/>
        </w:rPr>
        <w:t>二</w:t>
      </w:r>
      <w:r w:rsidRPr="002B1FA2">
        <w:rPr>
          <w:rFonts w:cs="宋体" w:hint="eastAsia"/>
          <w:color w:val="auto"/>
          <w:spacing w:val="9"/>
          <w:kern w:val="0"/>
          <w:sz w:val="24"/>
        </w:rPr>
        <w:t>、投资者参与科创板股票交易，应当遵守法律法规、上交所业务规则的规定和证券交易委托协议的约定，不得实施异常交易行为，影响股票交易正常秩序。具体异常交易行为及相关监管措施详见上交所异常交易实时监控细则。</w:t>
      </w:r>
    </w:p>
    <w:p w14:paraId="61A2AAA4" w14:textId="77777777" w:rsidR="005B0EF2" w:rsidRPr="002B1FA2" w:rsidRDefault="005B0EF2" w:rsidP="005D0B35">
      <w:pPr>
        <w:spacing w:line="440" w:lineRule="exact"/>
        <w:ind w:firstLineChars="200" w:firstLine="482"/>
        <w:rPr>
          <w:b/>
          <w:bCs/>
          <w:color w:val="auto"/>
          <w:sz w:val="24"/>
        </w:rPr>
      </w:pPr>
      <w:r w:rsidRPr="002B1FA2">
        <w:rPr>
          <w:rFonts w:hint="eastAsia"/>
          <w:b/>
          <w:bCs/>
          <w:color w:val="auto"/>
          <w:sz w:val="24"/>
        </w:rPr>
        <w:t>特别声明：</w:t>
      </w:r>
    </w:p>
    <w:p w14:paraId="38793603" w14:textId="715C8D58" w:rsidR="005B0EF2" w:rsidRDefault="005B0EF2" w:rsidP="005D0B35">
      <w:pPr>
        <w:spacing w:line="440" w:lineRule="exact"/>
        <w:ind w:firstLineChars="200" w:firstLine="482"/>
        <w:rPr>
          <w:b/>
          <w:bCs/>
          <w:color w:val="auto"/>
          <w:sz w:val="24"/>
        </w:rPr>
      </w:pPr>
      <w:r w:rsidRPr="002B1FA2">
        <w:rPr>
          <w:b/>
          <w:bCs/>
          <w:color w:val="auto"/>
          <w:sz w:val="24"/>
        </w:rPr>
        <w:t>本《风险揭示书》的揭示事项仅为列举性质，未能详尽列明科创板股票交易的所有风险，投资者在参与交易前，应当认真阅读有关法律法规和交易所业务规则等相关规定，对其他可能存在的风险因素也应当有所了解和掌握，并确信自己已做好足够的风险评估与财务安排，避免因参与科创板股票交易遭受难以承受的损失。</w:t>
      </w:r>
    </w:p>
    <w:p w14:paraId="06A74F2D" w14:textId="77777777" w:rsidR="00A96A5D" w:rsidRPr="002B1FA2" w:rsidRDefault="00A96A5D" w:rsidP="005D0B35">
      <w:pPr>
        <w:spacing w:line="440" w:lineRule="exact"/>
        <w:ind w:firstLineChars="200" w:firstLine="482"/>
        <w:rPr>
          <w:b/>
          <w:bCs/>
          <w:color w:val="auto"/>
          <w:sz w:val="24"/>
        </w:rPr>
      </w:pPr>
    </w:p>
    <w:p w14:paraId="1D19E22A" w14:textId="1D56BB34" w:rsidR="005B0EF2" w:rsidRDefault="005B0EF2" w:rsidP="005D0B35">
      <w:pPr>
        <w:spacing w:line="440" w:lineRule="exact"/>
        <w:ind w:firstLineChars="200" w:firstLine="482"/>
        <w:rPr>
          <w:b/>
          <w:bCs/>
          <w:color w:val="auto"/>
          <w:sz w:val="24"/>
        </w:rPr>
      </w:pPr>
      <w:r w:rsidRPr="002B1FA2">
        <w:rPr>
          <w:b/>
          <w:bCs/>
          <w:color w:val="auto"/>
          <w:sz w:val="24"/>
        </w:rPr>
        <w:t>本人/机构已阅读并完全理解以上《</w:t>
      </w:r>
      <w:r w:rsidRPr="007673AB">
        <w:rPr>
          <w:rFonts w:hint="eastAsia"/>
          <w:b/>
          <w:bCs/>
          <w:color w:val="auto"/>
          <w:sz w:val="24"/>
        </w:rPr>
        <w:t>首创证券</w:t>
      </w:r>
      <w:r w:rsidR="00986B0A">
        <w:rPr>
          <w:rFonts w:hint="eastAsia"/>
          <w:b/>
          <w:bCs/>
          <w:color w:val="auto"/>
          <w:sz w:val="24"/>
        </w:rPr>
        <w:t>股份</w:t>
      </w:r>
      <w:r w:rsidRPr="007673AB">
        <w:rPr>
          <w:rFonts w:hint="eastAsia"/>
          <w:b/>
          <w:bCs/>
          <w:color w:val="auto"/>
          <w:sz w:val="24"/>
        </w:rPr>
        <w:t>有限公司</w:t>
      </w:r>
      <w:r w:rsidRPr="002B1FA2">
        <w:rPr>
          <w:rFonts w:hint="eastAsia"/>
          <w:b/>
          <w:bCs/>
          <w:color w:val="auto"/>
          <w:sz w:val="24"/>
        </w:rPr>
        <w:t>科创板股票交易风险揭示书</w:t>
      </w:r>
      <w:r w:rsidRPr="002B1FA2">
        <w:rPr>
          <w:b/>
          <w:bCs/>
          <w:color w:val="auto"/>
          <w:sz w:val="24"/>
        </w:rPr>
        <w:t>》</w:t>
      </w:r>
      <w:r w:rsidRPr="002B1FA2">
        <w:rPr>
          <w:rFonts w:hint="eastAsia"/>
          <w:b/>
          <w:bCs/>
          <w:color w:val="auto"/>
          <w:sz w:val="24"/>
        </w:rPr>
        <w:t>的全部内容，开通权限行为系本人/本机构真实意愿，</w:t>
      </w:r>
      <w:r w:rsidRPr="002B1FA2">
        <w:rPr>
          <w:b/>
          <w:bCs/>
          <w:color w:val="auto"/>
          <w:sz w:val="24"/>
        </w:rPr>
        <w:t>愿意自行承担参与科创板股票交易的风险和损失。</w:t>
      </w:r>
    </w:p>
    <w:p w14:paraId="3167EC5D" w14:textId="77777777" w:rsidR="00250CF8" w:rsidRPr="002B1FA2" w:rsidRDefault="00250CF8" w:rsidP="005D0B35">
      <w:pPr>
        <w:spacing w:line="440" w:lineRule="exact"/>
        <w:ind w:firstLineChars="200" w:firstLine="482"/>
        <w:rPr>
          <w:b/>
          <w:bCs/>
          <w:color w:val="auto"/>
          <w:sz w:val="24"/>
        </w:rPr>
      </w:pPr>
    </w:p>
    <w:p w14:paraId="05062D45" w14:textId="2CEC5B46" w:rsidR="005B0EF2" w:rsidRDefault="005B0EF2" w:rsidP="005D0B35">
      <w:pPr>
        <w:spacing w:line="400" w:lineRule="exact"/>
        <w:ind w:firstLineChars="190" w:firstLine="456"/>
        <w:rPr>
          <w:color w:val="auto"/>
          <w:sz w:val="24"/>
        </w:rPr>
      </w:pPr>
      <w:bookmarkStart w:id="11" w:name="_Hlk62247164"/>
      <w:r w:rsidRPr="002B1FA2">
        <w:rPr>
          <w:rFonts w:hint="eastAsia"/>
          <w:color w:val="auto"/>
          <w:sz w:val="24"/>
        </w:rPr>
        <w:t>为了确保重要信息的有效送达，防范客户账户风险，请您根据您的实际情况，提供除本人之外的其他联系人的联系方式，并在相关信息发生变化时及时通知我</w:t>
      </w:r>
      <w:r w:rsidRPr="002B1FA2">
        <w:rPr>
          <w:rFonts w:hint="eastAsia"/>
          <w:color w:val="auto"/>
          <w:sz w:val="24"/>
        </w:rPr>
        <w:lastRenderedPageBreak/>
        <w:t>公司或您所在营业部的工作人员进行信息变更。为了维护您的切身利益，作为证券市场的参与者，提请您务必密切关注所持证券的公开市场信息。</w:t>
      </w:r>
    </w:p>
    <w:bookmarkEnd w:id="11"/>
    <w:p w14:paraId="0276539E" w14:textId="77777777" w:rsidR="001A2F9F" w:rsidRPr="002B1FA2" w:rsidRDefault="001A2F9F" w:rsidP="005D0B35">
      <w:pPr>
        <w:spacing w:line="400" w:lineRule="exact"/>
        <w:ind w:firstLineChars="190" w:firstLine="456"/>
        <w:rPr>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0"/>
        <w:gridCol w:w="2078"/>
        <w:gridCol w:w="2071"/>
      </w:tblGrid>
      <w:tr w:rsidR="005B0EF2" w:rsidRPr="002B1FA2" w14:paraId="6D406ED4" w14:textId="77777777" w:rsidTr="006E3868">
        <w:trPr>
          <w:trHeight w:val="283"/>
        </w:trPr>
        <w:tc>
          <w:tcPr>
            <w:tcW w:w="2130" w:type="dxa"/>
            <w:tcBorders>
              <w:top w:val="single" w:sz="4" w:space="0" w:color="auto"/>
              <w:left w:val="single" w:sz="4" w:space="0" w:color="auto"/>
              <w:bottom w:val="single" w:sz="4" w:space="0" w:color="auto"/>
              <w:right w:val="single" w:sz="4" w:space="0" w:color="auto"/>
            </w:tcBorders>
            <w:hideMark/>
          </w:tcPr>
          <w:p w14:paraId="59035288" w14:textId="77777777" w:rsidR="005B0EF2" w:rsidRPr="002B1FA2" w:rsidRDefault="005B0EF2" w:rsidP="005D0B35">
            <w:pPr>
              <w:spacing w:line="400" w:lineRule="exact"/>
              <w:rPr>
                <w:color w:val="auto"/>
                <w:sz w:val="24"/>
              </w:rPr>
            </w:pPr>
            <w:r w:rsidRPr="002B1FA2">
              <w:rPr>
                <w:rFonts w:hint="eastAsia"/>
                <w:color w:val="auto"/>
                <w:sz w:val="24"/>
              </w:rPr>
              <w:t>其他联系人</w:t>
            </w:r>
          </w:p>
        </w:tc>
        <w:tc>
          <w:tcPr>
            <w:tcW w:w="6392" w:type="dxa"/>
            <w:gridSpan w:val="3"/>
            <w:tcBorders>
              <w:top w:val="single" w:sz="4" w:space="0" w:color="auto"/>
              <w:left w:val="single" w:sz="4" w:space="0" w:color="auto"/>
              <w:bottom w:val="single" w:sz="4" w:space="0" w:color="auto"/>
              <w:right w:val="single" w:sz="4" w:space="0" w:color="auto"/>
            </w:tcBorders>
          </w:tcPr>
          <w:p w14:paraId="6F821A86" w14:textId="77777777" w:rsidR="005B0EF2" w:rsidRPr="002B1FA2" w:rsidRDefault="005B0EF2" w:rsidP="005D0B35">
            <w:pPr>
              <w:spacing w:line="400" w:lineRule="exact"/>
              <w:rPr>
                <w:color w:val="auto"/>
                <w:sz w:val="24"/>
              </w:rPr>
            </w:pPr>
          </w:p>
        </w:tc>
      </w:tr>
      <w:tr w:rsidR="005B0EF2" w:rsidRPr="002B1FA2" w14:paraId="3D16E634" w14:textId="77777777" w:rsidTr="006E3868">
        <w:trPr>
          <w:trHeight w:val="283"/>
        </w:trPr>
        <w:tc>
          <w:tcPr>
            <w:tcW w:w="2130" w:type="dxa"/>
            <w:tcBorders>
              <w:top w:val="single" w:sz="4" w:space="0" w:color="auto"/>
              <w:left w:val="single" w:sz="4" w:space="0" w:color="auto"/>
              <w:bottom w:val="single" w:sz="4" w:space="0" w:color="auto"/>
              <w:right w:val="single" w:sz="4" w:space="0" w:color="auto"/>
            </w:tcBorders>
            <w:hideMark/>
          </w:tcPr>
          <w:p w14:paraId="5BE8A76F" w14:textId="77777777" w:rsidR="005B0EF2" w:rsidRPr="002B1FA2" w:rsidRDefault="005B0EF2" w:rsidP="005D0B35">
            <w:pPr>
              <w:spacing w:line="400" w:lineRule="exact"/>
              <w:rPr>
                <w:color w:val="auto"/>
                <w:sz w:val="24"/>
              </w:rPr>
            </w:pPr>
            <w:r w:rsidRPr="002B1FA2">
              <w:rPr>
                <w:rFonts w:hint="eastAsia"/>
                <w:color w:val="auto"/>
                <w:sz w:val="24"/>
              </w:rPr>
              <w:t>手机号码</w:t>
            </w:r>
          </w:p>
        </w:tc>
        <w:tc>
          <w:tcPr>
            <w:tcW w:w="2130" w:type="dxa"/>
            <w:tcBorders>
              <w:top w:val="single" w:sz="4" w:space="0" w:color="auto"/>
              <w:left w:val="single" w:sz="4" w:space="0" w:color="auto"/>
              <w:bottom w:val="single" w:sz="4" w:space="0" w:color="auto"/>
              <w:right w:val="single" w:sz="4" w:space="0" w:color="auto"/>
            </w:tcBorders>
          </w:tcPr>
          <w:p w14:paraId="076C473C" w14:textId="77777777" w:rsidR="005B0EF2" w:rsidRPr="002B1FA2" w:rsidRDefault="005B0EF2" w:rsidP="005D0B35">
            <w:pPr>
              <w:spacing w:line="400" w:lineRule="exact"/>
              <w:rPr>
                <w:color w:val="auto"/>
                <w:sz w:val="24"/>
              </w:rPr>
            </w:pPr>
          </w:p>
        </w:tc>
        <w:tc>
          <w:tcPr>
            <w:tcW w:w="2131" w:type="dxa"/>
            <w:tcBorders>
              <w:top w:val="single" w:sz="4" w:space="0" w:color="auto"/>
              <w:left w:val="single" w:sz="4" w:space="0" w:color="auto"/>
              <w:bottom w:val="single" w:sz="4" w:space="0" w:color="auto"/>
              <w:right w:val="single" w:sz="4" w:space="0" w:color="auto"/>
            </w:tcBorders>
            <w:hideMark/>
          </w:tcPr>
          <w:p w14:paraId="5FF59094" w14:textId="77777777" w:rsidR="005B0EF2" w:rsidRPr="002B1FA2" w:rsidRDefault="005B0EF2" w:rsidP="005D0B35">
            <w:pPr>
              <w:spacing w:line="400" w:lineRule="exact"/>
              <w:rPr>
                <w:color w:val="auto"/>
                <w:sz w:val="24"/>
              </w:rPr>
            </w:pPr>
            <w:r w:rsidRPr="002B1FA2">
              <w:rPr>
                <w:rFonts w:hint="eastAsia"/>
                <w:color w:val="auto"/>
                <w:sz w:val="24"/>
              </w:rPr>
              <w:t>电子邮箱</w:t>
            </w:r>
          </w:p>
        </w:tc>
        <w:tc>
          <w:tcPr>
            <w:tcW w:w="2131" w:type="dxa"/>
            <w:tcBorders>
              <w:top w:val="single" w:sz="4" w:space="0" w:color="auto"/>
              <w:left w:val="single" w:sz="4" w:space="0" w:color="auto"/>
              <w:bottom w:val="single" w:sz="4" w:space="0" w:color="auto"/>
              <w:right w:val="single" w:sz="4" w:space="0" w:color="auto"/>
            </w:tcBorders>
          </w:tcPr>
          <w:p w14:paraId="6AB8580D" w14:textId="77777777" w:rsidR="005B0EF2" w:rsidRPr="002B1FA2" w:rsidRDefault="005B0EF2" w:rsidP="005D0B35">
            <w:pPr>
              <w:spacing w:line="400" w:lineRule="exact"/>
              <w:rPr>
                <w:color w:val="auto"/>
                <w:sz w:val="24"/>
              </w:rPr>
            </w:pPr>
          </w:p>
        </w:tc>
      </w:tr>
      <w:tr w:rsidR="005B0EF2" w:rsidRPr="002B1FA2" w14:paraId="4907E72E" w14:textId="77777777" w:rsidTr="006E3868">
        <w:trPr>
          <w:trHeight w:val="283"/>
        </w:trPr>
        <w:tc>
          <w:tcPr>
            <w:tcW w:w="2130" w:type="dxa"/>
            <w:tcBorders>
              <w:top w:val="single" w:sz="4" w:space="0" w:color="auto"/>
              <w:left w:val="single" w:sz="4" w:space="0" w:color="auto"/>
              <w:bottom w:val="single" w:sz="4" w:space="0" w:color="auto"/>
              <w:right w:val="single" w:sz="4" w:space="0" w:color="auto"/>
            </w:tcBorders>
            <w:hideMark/>
          </w:tcPr>
          <w:p w14:paraId="328A3FEB" w14:textId="77777777" w:rsidR="005B0EF2" w:rsidRPr="002B1FA2" w:rsidRDefault="005B0EF2" w:rsidP="005D0B35">
            <w:pPr>
              <w:spacing w:line="400" w:lineRule="exact"/>
              <w:rPr>
                <w:color w:val="auto"/>
                <w:sz w:val="24"/>
              </w:rPr>
            </w:pPr>
            <w:r w:rsidRPr="002B1FA2">
              <w:rPr>
                <w:rFonts w:hint="eastAsia"/>
                <w:color w:val="auto"/>
                <w:sz w:val="24"/>
              </w:rPr>
              <w:t>固定电话</w:t>
            </w:r>
          </w:p>
        </w:tc>
        <w:tc>
          <w:tcPr>
            <w:tcW w:w="2130" w:type="dxa"/>
            <w:tcBorders>
              <w:top w:val="single" w:sz="4" w:space="0" w:color="auto"/>
              <w:left w:val="single" w:sz="4" w:space="0" w:color="auto"/>
              <w:bottom w:val="single" w:sz="4" w:space="0" w:color="auto"/>
              <w:right w:val="single" w:sz="4" w:space="0" w:color="auto"/>
            </w:tcBorders>
          </w:tcPr>
          <w:p w14:paraId="7CC2EAD7" w14:textId="77777777" w:rsidR="005B0EF2" w:rsidRPr="002B1FA2" w:rsidRDefault="005B0EF2" w:rsidP="005D0B35">
            <w:pPr>
              <w:spacing w:line="400" w:lineRule="exact"/>
              <w:rPr>
                <w:color w:val="auto"/>
                <w:sz w:val="24"/>
              </w:rPr>
            </w:pPr>
          </w:p>
        </w:tc>
        <w:tc>
          <w:tcPr>
            <w:tcW w:w="2131" w:type="dxa"/>
            <w:tcBorders>
              <w:top w:val="single" w:sz="4" w:space="0" w:color="auto"/>
              <w:left w:val="single" w:sz="4" w:space="0" w:color="auto"/>
              <w:bottom w:val="single" w:sz="4" w:space="0" w:color="auto"/>
              <w:right w:val="single" w:sz="4" w:space="0" w:color="auto"/>
            </w:tcBorders>
            <w:hideMark/>
          </w:tcPr>
          <w:p w14:paraId="5CB83D74" w14:textId="77777777" w:rsidR="005B0EF2" w:rsidRPr="002B1FA2" w:rsidRDefault="005B0EF2" w:rsidP="005D0B35">
            <w:pPr>
              <w:spacing w:line="400" w:lineRule="exact"/>
              <w:rPr>
                <w:color w:val="auto"/>
                <w:sz w:val="24"/>
              </w:rPr>
            </w:pPr>
            <w:r w:rsidRPr="002B1FA2">
              <w:rPr>
                <w:rFonts w:hint="eastAsia"/>
                <w:color w:val="auto"/>
                <w:sz w:val="24"/>
              </w:rPr>
              <w:t>邮箱编码</w:t>
            </w:r>
          </w:p>
        </w:tc>
        <w:tc>
          <w:tcPr>
            <w:tcW w:w="2131" w:type="dxa"/>
            <w:tcBorders>
              <w:top w:val="single" w:sz="4" w:space="0" w:color="auto"/>
              <w:left w:val="single" w:sz="4" w:space="0" w:color="auto"/>
              <w:bottom w:val="single" w:sz="4" w:space="0" w:color="auto"/>
              <w:right w:val="single" w:sz="4" w:space="0" w:color="auto"/>
            </w:tcBorders>
          </w:tcPr>
          <w:p w14:paraId="231A7504" w14:textId="77777777" w:rsidR="005B0EF2" w:rsidRPr="002B1FA2" w:rsidRDefault="005B0EF2" w:rsidP="005D0B35">
            <w:pPr>
              <w:spacing w:line="400" w:lineRule="exact"/>
              <w:rPr>
                <w:color w:val="auto"/>
                <w:sz w:val="24"/>
              </w:rPr>
            </w:pPr>
          </w:p>
        </w:tc>
      </w:tr>
      <w:tr w:rsidR="005B0EF2" w:rsidRPr="002B1FA2" w14:paraId="16D5C595" w14:textId="77777777" w:rsidTr="006E3868">
        <w:trPr>
          <w:trHeight w:val="283"/>
        </w:trPr>
        <w:tc>
          <w:tcPr>
            <w:tcW w:w="2130" w:type="dxa"/>
            <w:tcBorders>
              <w:top w:val="single" w:sz="4" w:space="0" w:color="auto"/>
              <w:left w:val="single" w:sz="4" w:space="0" w:color="auto"/>
              <w:bottom w:val="single" w:sz="4" w:space="0" w:color="auto"/>
              <w:right w:val="single" w:sz="4" w:space="0" w:color="auto"/>
            </w:tcBorders>
            <w:hideMark/>
          </w:tcPr>
          <w:p w14:paraId="4F3CA98D" w14:textId="77777777" w:rsidR="005B0EF2" w:rsidRPr="002B1FA2" w:rsidRDefault="005B0EF2" w:rsidP="005D0B35">
            <w:pPr>
              <w:spacing w:line="400" w:lineRule="exact"/>
              <w:rPr>
                <w:color w:val="auto"/>
                <w:sz w:val="24"/>
              </w:rPr>
            </w:pPr>
            <w:r w:rsidRPr="002B1FA2">
              <w:rPr>
                <w:rFonts w:hint="eastAsia"/>
                <w:color w:val="auto"/>
                <w:sz w:val="24"/>
              </w:rPr>
              <w:t>联系地址</w:t>
            </w:r>
          </w:p>
        </w:tc>
        <w:tc>
          <w:tcPr>
            <w:tcW w:w="6392" w:type="dxa"/>
            <w:gridSpan w:val="3"/>
            <w:tcBorders>
              <w:top w:val="single" w:sz="4" w:space="0" w:color="auto"/>
              <w:left w:val="single" w:sz="4" w:space="0" w:color="auto"/>
              <w:bottom w:val="single" w:sz="4" w:space="0" w:color="auto"/>
              <w:right w:val="single" w:sz="4" w:space="0" w:color="auto"/>
            </w:tcBorders>
          </w:tcPr>
          <w:p w14:paraId="654157E4" w14:textId="77777777" w:rsidR="005B0EF2" w:rsidRPr="002B1FA2" w:rsidRDefault="005B0EF2" w:rsidP="005D0B35">
            <w:pPr>
              <w:spacing w:line="400" w:lineRule="exact"/>
              <w:rPr>
                <w:color w:val="auto"/>
                <w:sz w:val="24"/>
              </w:rPr>
            </w:pPr>
          </w:p>
        </w:tc>
      </w:tr>
    </w:tbl>
    <w:p w14:paraId="1249CB48" w14:textId="77777777" w:rsidR="001A2F9F" w:rsidRDefault="001A2F9F" w:rsidP="005D0B35">
      <w:pPr>
        <w:spacing w:line="360" w:lineRule="exact"/>
        <w:ind w:right="1120" w:firstLineChars="1900" w:firstLine="4578"/>
        <w:rPr>
          <w:b/>
          <w:bCs/>
          <w:color w:val="auto"/>
          <w:sz w:val="24"/>
        </w:rPr>
      </w:pPr>
    </w:p>
    <w:p w14:paraId="2209B35B" w14:textId="107276F2" w:rsidR="005B0EF2" w:rsidRPr="002B1FA2" w:rsidRDefault="005B0EF2" w:rsidP="005D0B35">
      <w:pPr>
        <w:spacing w:line="360" w:lineRule="exact"/>
        <w:ind w:right="1120" w:firstLineChars="1900" w:firstLine="4578"/>
        <w:rPr>
          <w:b/>
          <w:bCs/>
          <w:color w:val="auto"/>
          <w:sz w:val="24"/>
        </w:rPr>
      </w:pPr>
      <w:r w:rsidRPr="002B1FA2">
        <w:rPr>
          <w:b/>
          <w:bCs/>
          <w:color w:val="auto"/>
          <w:sz w:val="24"/>
        </w:rPr>
        <w:t>客户：</w:t>
      </w:r>
    </w:p>
    <w:p w14:paraId="693275CF" w14:textId="1189DFE0" w:rsidR="005B0EF2" w:rsidRPr="002B1FA2" w:rsidRDefault="005B0EF2" w:rsidP="005D0B35">
      <w:pPr>
        <w:spacing w:line="360" w:lineRule="exact"/>
        <w:ind w:right="420"/>
        <w:rPr>
          <w:b/>
          <w:bCs/>
          <w:color w:val="auto"/>
          <w:sz w:val="24"/>
        </w:rPr>
      </w:pPr>
      <w:r w:rsidRPr="002B1FA2">
        <w:rPr>
          <w:rFonts w:hint="eastAsia"/>
          <w:b/>
          <w:bCs/>
          <w:color w:val="auto"/>
          <w:sz w:val="24"/>
        </w:rPr>
        <w:t xml:space="preserve">                              </w:t>
      </w:r>
      <w:r w:rsidR="00A96A5D">
        <w:rPr>
          <w:b/>
          <w:bCs/>
          <w:color w:val="auto"/>
          <w:sz w:val="24"/>
        </w:rPr>
        <w:t xml:space="preserve">   </w:t>
      </w:r>
      <w:r w:rsidRPr="002B1FA2">
        <w:rPr>
          <w:rFonts w:hint="eastAsia"/>
          <w:b/>
          <w:bCs/>
          <w:color w:val="auto"/>
          <w:sz w:val="24"/>
        </w:rPr>
        <w:t xml:space="preserve"> </w:t>
      </w:r>
      <w:r w:rsidRPr="002B1FA2">
        <w:rPr>
          <w:b/>
          <w:bCs/>
          <w:color w:val="auto"/>
          <w:sz w:val="24"/>
        </w:rPr>
        <w:t>（个人签字/机构盖章） 签署</w:t>
      </w:r>
    </w:p>
    <w:p w14:paraId="4FDE788A" w14:textId="65665929" w:rsidR="005B0EF2" w:rsidRDefault="005B0EF2" w:rsidP="005D0B35">
      <w:pPr>
        <w:spacing w:line="360" w:lineRule="exact"/>
        <w:ind w:right="560"/>
        <w:rPr>
          <w:b/>
          <w:bCs/>
          <w:color w:val="auto"/>
          <w:sz w:val="24"/>
        </w:rPr>
      </w:pPr>
      <w:r w:rsidRPr="002B1FA2">
        <w:rPr>
          <w:rFonts w:hint="eastAsia"/>
          <w:b/>
          <w:bCs/>
          <w:color w:val="auto"/>
          <w:sz w:val="24"/>
        </w:rPr>
        <w:t xml:space="preserve">                             </w:t>
      </w:r>
      <w:r w:rsidR="00A96A5D">
        <w:rPr>
          <w:b/>
          <w:bCs/>
          <w:color w:val="auto"/>
          <w:sz w:val="24"/>
        </w:rPr>
        <w:t xml:space="preserve">     </w:t>
      </w:r>
      <w:r w:rsidRPr="002B1FA2">
        <w:rPr>
          <w:rFonts w:hint="eastAsia"/>
          <w:b/>
          <w:bCs/>
          <w:color w:val="auto"/>
          <w:sz w:val="24"/>
        </w:rPr>
        <w:t xml:space="preserve">  </w:t>
      </w:r>
      <w:r w:rsidRPr="002B1FA2">
        <w:rPr>
          <w:b/>
          <w:bCs/>
          <w:color w:val="auto"/>
          <w:sz w:val="24"/>
        </w:rPr>
        <w:t>日期：</w:t>
      </w:r>
      <w:r w:rsidRPr="002B1FA2">
        <w:rPr>
          <w:rFonts w:hint="eastAsia"/>
          <w:b/>
          <w:bCs/>
          <w:color w:val="auto"/>
          <w:sz w:val="24"/>
        </w:rPr>
        <w:t xml:space="preserve">  </w:t>
      </w:r>
      <w:r w:rsidRPr="002B1FA2">
        <w:rPr>
          <w:b/>
          <w:bCs/>
          <w:color w:val="auto"/>
          <w:sz w:val="24"/>
        </w:rPr>
        <w:tab/>
      </w:r>
      <w:r w:rsidRPr="002B1FA2">
        <w:rPr>
          <w:rFonts w:hint="eastAsia"/>
          <w:b/>
          <w:bCs/>
          <w:color w:val="auto"/>
          <w:sz w:val="24"/>
        </w:rPr>
        <w:t xml:space="preserve"> </w:t>
      </w:r>
      <w:r w:rsidRPr="002B1FA2">
        <w:rPr>
          <w:b/>
          <w:bCs/>
          <w:color w:val="auto"/>
          <w:sz w:val="24"/>
        </w:rPr>
        <w:t>年</w:t>
      </w:r>
      <w:r w:rsidRPr="002B1FA2">
        <w:rPr>
          <w:rFonts w:hint="eastAsia"/>
          <w:b/>
          <w:bCs/>
          <w:color w:val="auto"/>
          <w:sz w:val="24"/>
        </w:rPr>
        <w:t xml:space="preserve">    </w:t>
      </w:r>
      <w:r w:rsidRPr="002B1FA2">
        <w:rPr>
          <w:b/>
          <w:bCs/>
          <w:color w:val="auto"/>
          <w:sz w:val="24"/>
        </w:rPr>
        <w:t>月</w:t>
      </w:r>
      <w:r w:rsidRPr="002B1FA2">
        <w:rPr>
          <w:b/>
          <w:bCs/>
          <w:color w:val="auto"/>
          <w:sz w:val="24"/>
        </w:rPr>
        <w:tab/>
      </w:r>
      <w:r w:rsidRPr="002B1FA2">
        <w:rPr>
          <w:rFonts w:hint="eastAsia"/>
          <w:b/>
          <w:bCs/>
          <w:color w:val="auto"/>
          <w:sz w:val="24"/>
        </w:rPr>
        <w:t xml:space="preserve">   </w:t>
      </w:r>
      <w:r w:rsidRPr="002B1FA2">
        <w:rPr>
          <w:b/>
          <w:bCs/>
          <w:color w:val="auto"/>
          <w:sz w:val="24"/>
        </w:rPr>
        <w:t>日</w:t>
      </w:r>
    </w:p>
    <w:sectPr w:rsidR="005B0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F8B30" w14:textId="77777777" w:rsidR="007F0DC4" w:rsidRDefault="007F0DC4" w:rsidP="005B0EF2">
      <w:r>
        <w:separator/>
      </w:r>
    </w:p>
  </w:endnote>
  <w:endnote w:type="continuationSeparator" w:id="0">
    <w:p w14:paraId="38D989F6" w14:textId="77777777" w:rsidR="007F0DC4" w:rsidRDefault="007F0DC4" w:rsidP="005B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KRKTNL+»ªÎÄÖÐËÎ">
    <w:altName w:val="Browallia New"/>
    <w:charset w:val="01"/>
    <w:family w:val="auto"/>
    <w:pitch w:val="default"/>
    <w:sig w:usb0="00000000" w:usb1="00000000" w:usb2="01010101" w:usb3="01010101" w:csb0="01010101" w:csb1="01010101"/>
  </w:font>
  <w:font w:name="BFKPQN+·ÂËÎ_GB2312">
    <w:altName w:val="Browallia New"/>
    <w:charset w:val="01"/>
    <w:family w:val="modern"/>
    <w:pitch w:val="default"/>
    <w:sig w:usb0="00000000" w:usb1="00000000" w:usb2="01010101" w:usb3="01010101" w:csb0="01010101" w:csb1="01010101"/>
  </w:font>
  <w:font w:name="EIFMCN+·ÂËÎ_GB2312">
    <w:altName w:val="Browallia New"/>
    <w:charset w:val="01"/>
    <w:family w:val="modern"/>
    <w:pitch w:val="default"/>
    <w:sig w:usb0="00000000" w:usb1="00000000" w:usb2="01010101" w:usb3="01010101" w:csb0="01010101" w:csb1="01010101"/>
  </w:font>
  <w:font w:name="JSSJSM+·ÂËÎ_GB2312">
    <w:altName w:val="Browallia New"/>
    <w:charset w:val="01"/>
    <w:family w:val="modern"/>
    <w:pitch w:val="default"/>
    <w:sig w:usb0="00000000" w:usb1="00000000" w:usb2="01010101" w:usb3="01010101" w:csb0="01010101" w:csb1="01010101"/>
  </w:font>
  <w:font w:name="MJBILM+·ÂËÎ_GB2312">
    <w:altName w:val="Browallia New"/>
    <w:charset w:val="01"/>
    <w:family w:val="modern"/>
    <w:pitch w:val="default"/>
    <w:sig w:usb0="00000000" w:usb1="00000000" w:usb2="01010101" w:usb3="01010101" w:csb0="01010101" w:csb1="01010101"/>
  </w:font>
  <w:font w:name="宋体">
    <w:altName w:val="SimSun"/>
    <w:panose1 w:val="02010600030101010101"/>
    <w:charset w:val="86"/>
    <w:family w:val="auto"/>
    <w:pitch w:val="variable"/>
    <w:sig w:usb0="00000003" w:usb1="288F0000" w:usb2="00000016" w:usb3="00000000" w:csb0="00040001" w:csb1="00000000"/>
  </w:font>
  <w:font w:name="VPEKLP+·ÂËÎ_GB2312">
    <w:altName w:val="Browallia New"/>
    <w:charset w:val="01"/>
    <w:family w:val="modern"/>
    <w:pitch w:val="default"/>
    <w:sig w:usb0="00000000" w:usb1="00000000"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34D3C" w14:textId="77777777" w:rsidR="007F0DC4" w:rsidRDefault="007F0DC4" w:rsidP="005B0EF2">
      <w:r>
        <w:separator/>
      </w:r>
    </w:p>
  </w:footnote>
  <w:footnote w:type="continuationSeparator" w:id="0">
    <w:p w14:paraId="7094A46B" w14:textId="77777777" w:rsidR="007F0DC4" w:rsidRDefault="007F0DC4" w:rsidP="005B0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D0"/>
    <w:rsid w:val="00040D54"/>
    <w:rsid w:val="001A2F9F"/>
    <w:rsid w:val="001F75D0"/>
    <w:rsid w:val="00250CF8"/>
    <w:rsid w:val="003A4147"/>
    <w:rsid w:val="003B4B30"/>
    <w:rsid w:val="005B0EF2"/>
    <w:rsid w:val="005D0B35"/>
    <w:rsid w:val="007F0DC4"/>
    <w:rsid w:val="00986B0A"/>
    <w:rsid w:val="00A96A5D"/>
    <w:rsid w:val="00EF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A2E13"/>
  <w15:chartTrackingRefBased/>
  <w15:docId w15:val="{A64D1EEB-8BDF-4383-A3E5-8F1DC0E4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EF2"/>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EF2"/>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5B0EF2"/>
    <w:rPr>
      <w:sz w:val="18"/>
      <w:szCs w:val="18"/>
    </w:rPr>
  </w:style>
  <w:style w:type="paragraph" w:styleId="a5">
    <w:name w:val="footer"/>
    <w:basedOn w:val="a"/>
    <w:link w:val="a6"/>
    <w:uiPriority w:val="99"/>
    <w:unhideWhenUsed/>
    <w:rsid w:val="005B0EF2"/>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5B0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剑</dc:creator>
  <cp:keywords/>
  <dc:description/>
  <cp:lastModifiedBy>李 剑</cp:lastModifiedBy>
  <cp:revision>5</cp:revision>
  <dcterms:created xsi:type="dcterms:W3CDTF">2021-01-22T13:40:00Z</dcterms:created>
  <dcterms:modified xsi:type="dcterms:W3CDTF">2021-01-22T15:43:00Z</dcterms:modified>
</cp:coreProperties>
</file>