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88DCB" w14:textId="7D5E9FAC" w:rsidR="009C415D" w:rsidRPr="009C2361" w:rsidRDefault="005A7AEB" w:rsidP="008669EF">
      <w:pPr>
        <w:pStyle w:val="a3"/>
        <w:snapToGrid w:val="0"/>
        <w:spacing w:before="0" w:beforeAutospacing="0" w:after="0" w:afterAutospacing="0" w:line="240" w:lineRule="auto"/>
        <w:ind w:firstLineChars="0" w:firstLine="0"/>
        <w:jc w:val="center"/>
        <w:rPr>
          <w:rFonts w:asciiTheme="minorEastAsia" w:eastAsiaTheme="minorEastAsia" w:hAnsiTheme="minorEastAsia" w:cs="Times New Roman"/>
          <w:b/>
          <w:sz w:val="32"/>
        </w:rPr>
      </w:pPr>
      <w:r w:rsidRPr="009C2361">
        <w:rPr>
          <w:rFonts w:asciiTheme="minorEastAsia" w:eastAsiaTheme="minorEastAsia" w:hAnsiTheme="minorEastAsia" w:cs="Times New Roman" w:hint="eastAsia"/>
          <w:b/>
          <w:sz w:val="32"/>
        </w:rPr>
        <w:t>富国基金管理有限</w:t>
      </w:r>
      <w:r w:rsidR="00055197" w:rsidRPr="009C2361">
        <w:rPr>
          <w:rFonts w:asciiTheme="minorEastAsia" w:eastAsiaTheme="minorEastAsia" w:hAnsiTheme="minorEastAsia" w:cs="Times New Roman" w:hint="eastAsia"/>
          <w:b/>
          <w:sz w:val="32"/>
        </w:rPr>
        <w:t>公司</w:t>
      </w:r>
      <w:r w:rsidR="009C415D" w:rsidRPr="009C2361">
        <w:rPr>
          <w:rFonts w:asciiTheme="minorEastAsia" w:eastAsiaTheme="minorEastAsia" w:hAnsiTheme="minorEastAsia" w:cs="Times New Roman" w:hint="eastAsia"/>
          <w:b/>
          <w:sz w:val="32"/>
        </w:rPr>
        <w:t>关于</w:t>
      </w:r>
      <w:r w:rsidRPr="009C2361">
        <w:rPr>
          <w:rFonts w:asciiTheme="minorEastAsia" w:eastAsiaTheme="minorEastAsia" w:hAnsiTheme="minorEastAsia" w:cs="Times New Roman" w:hint="eastAsia"/>
          <w:b/>
          <w:sz w:val="32"/>
        </w:rPr>
        <w:t>富国首创水务封闭式基础设施证券投资</w:t>
      </w:r>
      <w:r w:rsidR="009C415D" w:rsidRPr="009C2361">
        <w:rPr>
          <w:rFonts w:asciiTheme="minorEastAsia" w:eastAsiaTheme="minorEastAsia" w:hAnsiTheme="minorEastAsia" w:cs="Times New Roman" w:hint="eastAsia"/>
          <w:b/>
          <w:sz w:val="32"/>
        </w:rPr>
        <w:t>基金</w:t>
      </w:r>
      <w:r w:rsidR="008124D8" w:rsidRPr="009C2361">
        <w:rPr>
          <w:rFonts w:asciiTheme="minorEastAsia" w:eastAsiaTheme="minorEastAsia" w:hAnsiTheme="minorEastAsia" w:hint="eastAsia"/>
          <w:b/>
          <w:sz w:val="32"/>
          <w:szCs w:val="32"/>
        </w:rPr>
        <w:t>份额解除限售的</w:t>
      </w:r>
      <w:r w:rsidR="00DD2B92">
        <w:rPr>
          <w:rFonts w:asciiTheme="minorEastAsia" w:eastAsiaTheme="minorEastAsia" w:hAnsiTheme="minorEastAsia" w:hint="eastAsia"/>
          <w:b/>
          <w:sz w:val="32"/>
          <w:szCs w:val="32"/>
        </w:rPr>
        <w:t>风险提示</w:t>
      </w:r>
      <w:r w:rsidR="008124D8" w:rsidRPr="009C2361">
        <w:rPr>
          <w:rFonts w:asciiTheme="minorEastAsia" w:eastAsiaTheme="minorEastAsia" w:hAnsiTheme="minorEastAsia" w:hint="eastAsia"/>
          <w:b/>
          <w:sz w:val="32"/>
          <w:szCs w:val="32"/>
        </w:rPr>
        <w:t>公告</w:t>
      </w:r>
    </w:p>
    <w:p w14:paraId="192491C5" w14:textId="77777777" w:rsidR="009C415D" w:rsidRPr="009C2361" w:rsidRDefault="009C415D" w:rsidP="008669EF">
      <w:pPr>
        <w:pStyle w:val="a3"/>
        <w:snapToGrid w:val="0"/>
        <w:spacing w:before="0" w:beforeAutospacing="0" w:after="0" w:afterAutospacing="0" w:line="240" w:lineRule="auto"/>
        <w:ind w:firstLine="482"/>
        <w:jc w:val="center"/>
        <w:rPr>
          <w:rFonts w:asciiTheme="minorEastAsia" w:eastAsiaTheme="minorEastAsia" w:hAnsiTheme="minorEastAsia" w:cs="Times New Roman"/>
          <w:b/>
        </w:rPr>
      </w:pPr>
    </w:p>
    <w:p w14:paraId="2AF8F10F" w14:textId="77777777" w:rsidR="009C415D" w:rsidRPr="009C2361" w:rsidRDefault="009C415D" w:rsidP="008669EF">
      <w:pPr>
        <w:pStyle w:val="a3"/>
        <w:snapToGrid w:val="0"/>
        <w:spacing w:before="0" w:beforeAutospacing="0" w:after="0" w:afterAutospacing="0" w:line="240" w:lineRule="auto"/>
        <w:ind w:firstLine="482"/>
        <w:jc w:val="both"/>
        <w:rPr>
          <w:rFonts w:asciiTheme="minorEastAsia" w:eastAsiaTheme="minorEastAsia" w:hAnsiTheme="minorEastAsia" w:cs="Times New Roman"/>
          <w:b/>
        </w:rPr>
      </w:pPr>
      <w:r w:rsidRPr="009C2361">
        <w:rPr>
          <w:rFonts w:asciiTheme="minorEastAsia" w:eastAsiaTheme="minorEastAsia" w:hAnsiTheme="minorEastAsia" w:cs="Times New Roman" w:hint="eastAsia"/>
          <w:b/>
        </w:rPr>
        <w:t>一、公募REITs基本信息</w:t>
      </w:r>
    </w:p>
    <w:tbl>
      <w:tblPr>
        <w:tblW w:w="825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6163"/>
      </w:tblGrid>
      <w:tr w:rsidR="00055197" w:rsidRPr="009C2361" w14:paraId="24A55FA0" w14:textId="77777777" w:rsidTr="00653C9B">
        <w:trPr>
          <w:trHeight w:val="349"/>
        </w:trPr>
        <w:tc>
          <w:tcPr>
            <w:tcW w:w="2087" w:type="dxa"/>
            <w:vAlign w:val="center"/>
          </w:tcPr>
          <w:p w14:paraId="2B4492A9" w14:textId="77777777" w:rsidR="00055197" w:rsidRPr="009C2361" w:rsidRDefault="00055197" w:rsidP="00055197">
            <w:pPr>
              <w:pStyle w:val="a3"/>
              <w:snapToGrid w:val="0"/>
              <w:spacing w:before="0" w:beforeAutospacing="0" w:after="0" w:afterAutospacing="0" w:line="240" w:lineRule="auto"/>
              <w:ind w:firstLineChars="0" w:firstLine="0"/>
              <w:jc w:val="both"/>
              <w:rPr>
                <w:rFonts w:asciiTheme="minorEastAsia" w:eastAsiaTheme="minorEastAsia" w:hAnsiTheme="minorEastAsia" w:cs="Times New Roman"/>
              </w:rPr>
            </w:pPr>
            <w:r w:rsidRPr="009C2361">
              <w:rPr>
                <w:rFonts w:asciiTheme="minorEastAsia" w:eastAsiaTheme="minorEastAsia" w:hAnsiTheme="minorEastAsia" w:cs="Times New Roman" w:hint="eastAsia"/>
              </w:rPr>
              <w:t>公募REITs名称</w:t>
            </w:r>
          </w:p>
        </w:tc>
        <w:tc>
          <w:tcPr>
            <w:tcW w:w="6163" w:type="dxa"/>
          </w:tcPr>
          <w:p w14:paraId="5D6A9FA0" w14:textId="7CC6DF02" w:rsidR="00055197" w:rsidRPr="009C2361" w:rsidRDefault="005A7AEB" w:rsidP="00055197">
            <w:pPr>
              <w:pStyle w:val="a3"/>
              <w:snapToGrid w:val="0"/>
              <w:spacing w:before="0" w:beforeAutospacing="0" w:after="0" w:afterAutospacing="0" w:line="240" w:lineRule="auto"/>
              <w:ind w:firstLineChars="0" w:firstLine="0"/>
              <w:jc w:val="both"/>
              <w:rPr>
                <w:rFonts w:asciiTheme="minorEastAsia" w:eastAsiaTheme="minorEastAsia" w:hAnsiTheme="minorEastAsia" w:cs="Times New Roman"/>
              </w:rPr>
            </w:pPr>
            <w:r w:rsidRPr="009C2361">
              <w:rPr>
                <w:rFonts w:asciiTheme="minorEastAsia" w:eastAsiaTheme="minorEastAsia" w:hAnsiTheme="minorEastAsia" w:cs="Times New Roman" w:hint="eastAsia"/>
              </w:rPr>
              <w:t>富国首创水务封闭式基础设施证券投资基金</w:t>
            </w:r>
          </w:p>
        </w:tc>
      </w:tr>
      <w:tr w:rsidR="00055197" w:rsidRPr="009C2361" w14:paraId="0F65024A" w14:textId="77777777" w:rsidTr="00653C9B">
        <w:trPr>
          <w:trHeight w:val="299"/>
        </w:trPr>
        <w:tc>
          <w:tcPr>
            <w:tcW w:w="2087" w:type="dxa"/>
            <w:vAlign w:val="center"/>
          </w:tcPr>
          <w:p w14:paraId="775235EB" w14:textId="77777777" w:rsidR="00055197" w:rsidRPr="009C2361" w:rsidRDefault="00055197" w:rsidP="00055197">
            <w:pPr>
              <w:pStyle w:val="a3"/>
              <w:snapToGrid w:val="0"/>
              <w:spacing w:before="0" w:beforeAutospacing="0" w:after="0" w:afterAutospacing="0" w:line="240" w:lineRule="auto"/>
              <w:ind w:firstLineChars="0" w:firstLine="0"/>
              <w:jc w:val="both"/>
              <w:rPr>
                <w:rFonts w:asciiTheme="minorEastAsia" w:eastAsiaTheme="minorEastAsia" w:hAnsiTheme="minorEastAsia" w:cs="Times New Roman"/>
              </w:rPr>
            </w:pPr>
            <w:r w:rsidRPr="009C2361">
              <w:rPr>
                <w:rFonts w:asciiTheme="minorEastAsia" w:eastAsiaTheme="minorEastAsia" w:hAnsiTheme="minorEastAsia" w:cs="Times New Roman" w:hint="eastAsia"/>
              </w:rPr>
              <w:t>公募REITs简称</w:t>
            </w:r>
          </w:p>
        </w:tc>
        <w:tc>
          <w:tcPr>
            <w:tcW w:w="6163" w:type="dxa"/>
          </w:tcPr>
          <w:p w14:paraId="21FB1C84" w14:textId="52A68460" w:rsidR="00055197" w:rsidRPr="009C2361" w:rsidRDefault="005A7AEB" w:rsidP="00055197">
            <w:pPr>
              <w:pStyle w:val="a3"/>
              <w:snapToGrid w:val="0"/>
              <w:spacing w:before="0" w:beforeAutospacing="0" w:after="0" w:afterAutospacing="0" w:line="240" w:lineRule="auto"/>
              <w:ind w:firstLineChars="0" w:firstLine="0"/>
              <w:jc w:val="both"/>
              <w:rPr>
                <w:rFonts w:asciiTheme="minorEastAsia" w:eastAsiaTheme="minorEastAsia" w:hAnsiTheme="minorEastAsia" w:cs="Times New Roman"/>
              </w:rPr>
            </w:pPr>
            <w:r w:rsidRPr="009C2361">
              <w:rPr>
                <w:rFonts w:asciiTheme="minorEastAsia" w:eastAsiaTheme="minorEastAsia" w:hAnsiTheme="minorEastAsia" w:cs="Times New Roman" w:hint="eastAsia"/>
              </w:rPr>
              <w:t>富国首创水务REIT</w:t>
            </w:r>
          </w:p>
        </w:tc>
      </w:tr>
      <w:tr w:rsidR="00055197" w:rsidRPr="009C2361" w14:paraId="25903561" w14:textId="77777777" w:rsidTr="00653C9B">
        <w:trPr>
          <w:trHeight w:val="391"/>
        </w:trPr>
        <w:tc>
          <w:tcPr>
            <w:tcW w:w="2087" w:type="dxa"/>
            <w:vAlign w:val="center"/>
          </w:tcPr>
          <w:p w14:paraId="31158B07" w14:textId="77777777" w:rsidR="00055197" w:rsidRPr="009C2361" w:rsidRDefault="00055197" w:rsidP="00055197">
            <w:pPr>
              <w:pStyle w:val="a3"/>
              <w:snapToGrid w:val="0"/>
              <w:spacing w:before="0" w:beforeAutospacing="0" w:after="0" w:afterAutospacing="0" w:line="240" w:lineRule="auto"/>
              <w:ind w:firstLineChars="0" w:firstLine="0"/>
              <w:jc w:val="both"/>
              <w:rPr>
                <w:rFonts w:asciiTheme="minorEastAsia" w:eastAsiaTheme="minorEastAsia" w:hAnsiTheme="minorEastAsia" w:cs="Times New Roman"/>
              </w:rPr>
            </w:pPr>
            <w:r w:rsidRPr="009C2361">
              <w:rPr>
                <w:rFonts w:asciiTheme="minorEastAsia" w:eastAsiaTheme="minorEastAsia" w:hAnsiTheme="minorEastAsia" w:cs="Times New Roman" w:hint="eastAsia"/>
              </w:rPr>
              <w:t>公募REITs代码</w:t>
            </w:r>
          </w:p>
        </w:tc>
        <w:tc>
          <w:tcPr>
            <w:tcW w:w="6163" w:type="dxa"/>
            <w:vAlign w:val="center"/>
          </w:tcPr>
          <w:p w14:paraId="3DDB9A51" w14:textId="3B9BD53C" w:rsidR="00055197" w:rsidRPr="009C2361" w:rsidRDefault="005A7AEB" w:rsidP="00F8785C">
            <w:pPr>
              <w:pStyle w:val="a3"/>
              <w:snapToGrid w:val="0"/>
              <w:spacing w:before="0" w:beforeAutospacing="0" w:after="0" w:afterAutospacing="0" w:line="240" w:lineRule="auto"/>
              <w:ind w:firstLineChars="0" w:firstLine="0"/>
              <w:jc w:val="both"/>
              <w:rPr>
                <w:rFonts w:asciiTheme="minorEastAsia" w:eastAsiaTheme="minorEastAsia" w:hAnsiTheme="minorEastAsia" w:cs="Times New Roman"/>
              </w:rPr>
            </w:pPr>
            <w:r w:rsidRPr="009C2361">
              <w:rPr>
                <w:rFonts w:asciiTheme="minorEastAsia" w:eastAsiaTheme="minorEastAsia" w:hAnsiTheme="minorEastAsia" w:cs="Times New Roman"/>
              </w:rPr>
              <w:t>508006</w:t>
            </w:r>
          </w:p>
        </w:tc>
      </w:tr>
      <w:tr w:rsidR="00055197" w:rsidRPr="009C2361" w14:paraId="199050DA" w14:textId="77777777" w:rsidTr="00653C9B">
        <w:trPr>
          <w:trHeight w:val="391"/>
        </w:trPr>
        <w:tc>
          <w:tcPr>
            <w:tcW w:w="2087" w:type="dxa"/>
            <w:vAlign w:val="center"/>
          </w:tcPr>
          <w:p w14:paraId="285C9372" w14:textId="77777777" w:rsidR="00055197" w:rsidRPr="009C2361" w:rsidRDefault="00055197" w:rsidP="00055197">
            <w:pPr>
              <w:pStyle w:val="a3"/>
              <w:snapToGrid w:val="0"/>
              <w:spacing w:before="0" w:beforeAutospacing="0" w:after="0" w:afterAutospacing="0" w:line="240" w:lineRule="auto"/>
              <w:ind w:firstLineChars="0" w:firstLine="0"/>
              <w:jc w:val="both"/>
              <w:rPr>
                <w:rFonts w:asciiTheme="minorEastAsia" w:eastAsiaTheme="minorEastAsia" w:hAnsiTheme="minorEastAsia" w:cs="Times New Roman"/>
              </w:rPr>
            </w:pPr>
            <w:r w:rsidRPr="009C2361">
              <w:rPr>
                <w:rFonts w:asciiTheme="minorEastAsia" w:eastAsiaTheme="minorEastAsia" w:hAnsiTheme="minorEastAsia" w:cs="Times New Roman" w:hint="eastAsia"/>
              </w:rPr>
              <w:t>公募REITs合同生效日</w:t>
            </w:r>
          </w:p>
        </w:tc>
        <w:tc>
          <w:tcPr>
            <w:tcW w:w="6163" w:type="dxa"/>
          </w:tcPr>
          <w:p w14:paraId="3D4D5E1D" w14:textId="1D28B9BD" w:rsidR="00055197" w:rsidRPr="009C2361" w:rsidRDefault="005A7AEB" w:rsidP="00055197">
            <w:pPr>
              <w:pStyle w:val="a3"/>
              <w:snapToGrid w:val="0"/>
              <w:spacing w:before="0" w:beforeAutospacing="0" w:after="0" w:afterAutospacing="0" w:line="240" w:lineRule="auto"/>
              <w:ind w:firstLineChars="0" w:firstLine="0"/>
              <w:jc w:val="both"/>
              <w:rPr>
                <w:rFonts w:asciiTheme="minorEastAsia" w:eastAsiaTheme="minorEastAsia" w:hAnsiTheme="minorEastAsia" w:cs="Times New Roman"/>
              </w:rPr>
            </w:pPr>
            <w:r w:rsidRPr="009C2361">
              <w:rPr>
                <w:rFonts w:asciiTheme="minorEastAsia" w:eastAsiaTheme="minorEastAsia" w:hAnsiTheme="minorEastAsia" w:cs="Times New Roman" w:hint="eastAsia"/>
              </w:rPr>
              <w:t>2021年6月7日</w:t>
            </w:r>
          </w:p>
        </w:tc>
      </w:tr>
      <w:tr w:rsidR="00055197" w:rsidRPr="009C2361" w14:paraId="17FAFE97" w14:textId="77777777" w:rsidTr="00653C9B">
        <w:tc>
          <w:tcPr>
            <w:tcW w:w="2087" w:type="dxa"/>
            <w:vAlign w:val="center"/>
          </w:tcPr>
          <w:p w14:paraId="507A82FA" w14:textId="77777777" w:rsidR="00055197" w:rsidRPr="009C2361" w:rsidRDefault="00055197" w:rsidP="00055197">
            <w:pPr>
              <w:pStyle w:val="a3"/>
              <w:snapToGrid w:val="0"/>
              <w:spacing w:before="0" w:beforeAutospacing="0" w:after="0" w:afterAutospacing="0" w:line="240" w:lineRule="auto"/>
              <w:ind w:firstLineChars="0" w:firstLine="0"/>
              <w:jc w:val="both"/>
              <w:rPr>
                <w:rFonts w:asciiTheme="minorEastAsia" w:eastAsiaTheme="minorEastAsia" w:hAnsiTheme="minorEastAsia" w:cs="Times New Roman"/>
              </w:rPr>
            </w:pPr>
            <w:r w:rsidRPr="009C2361">
              <w:rPr>
                <w:rFonts w:asciiTheme="minorEastAsia" w:eastAsiaTheme="minorEastAsia" w:hAnsiTheme="minorEastAsia" w:cs="Times New Roman" w:hint="eastAsia"/>
              </w:rPr>
              <w:t>基金管理人名称</w:t>
            </w:r>
          </w:p>
        </w:tc>
        <w:tc>
          <w:tcPr>
            <w:tcW w:w="6163" w:type="dxa"/>
          </w:tcPr>
          <w:p w14:paraId="5EEB580E" w14:textId="2DFC4EB1" w:rsidR="00055197" w:rsidRPr="009C2361" w:rsidRDefault="005A7AEB" w:rsidP="00055197">
            <w:pPr>
              <w:pStyle w:val="a3"/>
              <w:snapToGrid w:val="0"/>
              <w:spacing w:before="0" w:beforeAutospacing="0" w:after="0" w:afterAutospacing="0" w:line="240" w:lineRule="auto"/>
              <w:ind w:firstLineChars="0" w:firstLine="0"/>
              <w:jc w:val="both"/>
              <w:rPr>
                <w:rFonts w:asciiTheme="minorEastAsia" w:eastAsiaTheme="minorEastAsia" w:hAnsiTheme="minorEastAsia" w:cs="Times New Roman"/>
              </w:rPr>
            </w:pPr>
            <w:r w:rsidRPr="009C2361">
              <w:rPr>
                <w:rFonts w:asciiTheme="minorEastAsia" w:eastAsiaTheme="minorEastAsia" w:hAnsiTheme="minorEastAsia" w:cs="Times New Roman" w:hint="eastAsia"/>
              </w:rPr>
              <w:t>富国基金管理有限公司</w:t>
            </w:r>
          </w:p>
        </w:tc>
      </w:tr>
      <w:tr w:rsidR="00055197" w:rsidRPr="009C2361" w14:paraId="4405D42B" w14:textId="77777777" w:rsidTr="00653C9B">
        <w:trPr>
          <w:trHeight w:val="418"/>
        </w:trPr>
        <w:tc>
          <w:tcPr>
            <w:tcW w:w="2087" w:type="dxa"/>
            <w:vAlign w:val="center"/>
          </w:tcPr>
          <w:p w14:paraId="1305A859" w14:textId="77777777" w:rsidR="00055197" w:rsidRPr="009C2361" w:rsidRDefault="00055197" w:rsidP="00055197">
            <w:pPr>
              <w:pStyle w:val="a3"/>
              <w:snapToGrid w:val="0"/>
              <w:spacing w:before="0" w:beforeAutospacing="0" w:after="0" w:afterAutospacing="0" w:line="240" w:lineRule="auto"/>
              <w:ind w:firstLineChars="0" w:firstLine="0"/>
              <w:jc w:val="both"/>
              <w:rPr>
                <w:rFonts w:asciiTheme="minorEastAsia" w:eastAsiaTheme="minorEastAsia" w:hAnsiTheme="minorEastAsia" w:cs="Times New Roman"/>
              </w:rPr>
            </w:pPr>
            <w:r w:rsidRPr="009C2361">
              <w:rPr>
                <w:rFonts w:asciiTheme="minorEastAsia" w:eastAsiaTheme="minorEastAsia" w:hAnsiTheme="minorEastAsia" w:cs="Times New Roman" w:hint="eastAsia"/>
              </w:rPr>
              <w:t>基金托管人名称</w:t>
            </w:r>
          </w:p>
        </w:tc>
        <w:tc>
          <w:tcPr>
            <w:tcW w:w="6163" w:type="dxa"/>
          </w:tcPr>
          <w:p w14:paraId="1972136E" w14:textId="660894B5" w:rsidR="00055197" w:rsidRPr="009C2361" w:rsidRDefault="005A7AEB" w:rsidP="00055197">
            <w:pPr>
              <w:pStyle w:val="a3"/>
              <w:snapToGrid w:val="0"/>
              <w:spacing w:before="0" w:beforeAutospacing="0" w:after="0" w:afterAutospacing="0" w:line="240" w:lineRule="auto"/>
              <w:ind w:firstLineChars="0" w:firstLine="0"/>
              <w:jc w:val="both"/>
              <w:rPr>
                <w:rFonts w:asciiTheme="minorEastAsia" w:eastAsiaTheme="minorEastAsia" w:hAnsiTheme="minorEastAsia" w:cs="Times New Roman"/>
              </w:rPr>
            </w:pPr>
            <w:r w:rsidRPr="009C2361">
              <w:rPr>
                <w:rFonts w:asciiTheme="minorEastAsia" w:eastAsiaTheme="minorEastAsia" w:hAnsiTheme="minorEastAsia" w:cs="Times New Roman" w:hint="eastAsia"/>
              </w:rPr>
              <w:t>招商银行股份有限公司</w:t>
            </w:r>
          </w:p>
        </w:tc>
      </w:tr>
      <w:tr w:rsidR="00055197" w:rsidRPr="009C2361" w14:paraId="745B2133" w14:textId="77777777" w:rsidTr="00653C9B">
        <w:trPr>
          <w:trHeight w:val="300"/>
        </w:trPr>
        <w:tc>
          <w:tcPr>
            <w:tcW w:w="2087" w:type="dxa"/>
            <w:vAlign w:val="center"/>
          </w:tcPr>
          <w:p w14:paraId="2EA93D2E" w14:textId="77777777" w:rsidR="00055197" w:rsidRPr="009C2361" w:rsidRDefault="00055197" w:rsidP="00055197">
            <w:pPr>
              <w:pStyle w:val="a3"/>
              <w:snapToGrid w:val="0"/>
              <w:spacing w:before="0" w:beforeAutospacing="0" w:after="0" w:afterAutospacing="0" w:line="240" w:lineRule="auto"/>
              <w:ind w:firstLineChars="0" w:firstLine="0"/>
              <w:jc w:val="both"/>
              <w:rPr>
                <w:rFonts w:asciiTheme="minorEastAsia" w:eastAsiaTheme="minorEastAsia" w:hAnsiTheme="minorEastAsia" w:cs="Times New Roman"/>
              </w:rPr>
            </w:pPr>
            <w:r w:rsidRPr="009C2361">
              <w:rPr>
                <w:rFonts w:asciiTheme="minorEastAsia" w:eastAsiaTheme="minorEastAsia" w:hAnsiTheme="minorEastAsia" w:cs="Times New Roman" w:hint="eastAsia"/>
              </w:rPr>
              <w:t>公告依据</w:t>
            </w:r>
          </w:p>
        </w:tc>
        <w:tc>
          <w:tcPr>
            <w:tcW w:w="6163" w:type="dxa"/>
          </w:tcPr>
          <w:p w14:paraId="2DE70335" w14:textId="4734666E" w:rsidR="00055197" w:rsidRPr="009C2361" w:rsidRDefault="005A7AEB" w:rsidP="00055197">
            <w:pPr>
              <w:pStyle w:val="a3"/>
              <w:snapToGrid w:val="0"/>
              <w:spacing w:before="0" w:beforeAutospacing="0" w:after="0" w:afterAutospacing="0" w:line="240" w:lineRule="auto"/>
              <w:ind w:firstLineChars="0" w:firstLine="0"/>
              <w:jc w:val="both"/>
              <w:rPr>
                <w:rFonts w:asciiTheme="minorEastAsia" w:eastAsiaTheme="minorEastAsia" w:hAnsiTheme="minorEastAsia" w:cs="Times New Roman"/>
              </w:rPr>
            </w:pPr>
            <w:r w:rsidRPr="009C2361">
              <w:rPr>
                <w:rFonts w:asciiTheme="minorEastAsia" w:eastAsiaTheme="minorEastAsia" w:hAnsiTheme="minorEastAsia" w:cs="Times New Roman" w:hint="eastAsia"/>
              </w:rPr>
              <w:t>《中华人民共和国证券投资基金法》及配套法规、《公开募集基础设施证券投资基金指引（试行）》、《上海证券交易所公开募集基础设施证券投资基金（REITs）业务办法（试行）》、《富国首创水务封闭式基础设施证券投资基金基金合同》、《富国首创水务封闭式基础设施证券投资基金招募说明书》</w:t>
            </w:r>
            <w:r w:rsidR="003A00DA" w:rsidRPr="009C2361">
              <w:rPr>
                <w:rFonts w:asciiTheme="minorEastAsia" w:eastAsiaTheme="minorEastAsia" w:hAnsiTheme="minorEastAsia" w:cs="Times New Roman" w:hint="eastAsia"/>
              </w:rPr>
              <w:t>、《</w:t>
            </w:r>
            <w:r w:rsidR="003A00DA" w:rsidRPr="009C2361">
              <w:rPr>
                <w:rFonts w:asciiTheme="minorEastAsia" w:eastAsiaTheme="minorEastAsia" w:hAnsiTheme="minorEastAsia" w:hint="eastAsia"/>
              </w:rPr>
              <w:t>富国首创水务封闭式基础设施证券投资基金2</w:t>
            </w:r>
            <w:r w:rsidR="003A00DA" w:rsidRPr="009C2361">
              <w:rPr>
                <w:rFonts w:asciiTheme="minorEastAsia" w:eastAsiaTheme="minorEastAsia" w:hAnsiTheme="minorEastAsia"/>
              </w:rPr>
              <w:t>021</w:t>
            </w:r>
            <w:r w:rsidR="003A00DA" w:rsidRPr="009C2361">
              <w:rPr>
                <w:rFonts w:asciiTheme="minorEastAsia" w:eastAsiaTheme="minorEastAsia" w:hAnsiTheme="minorEastAsia" w:hint="eastAsia"/>
              </w:rPr>
              <w:t>年年度报告》</w:t>
            </w:r>
          </w:p>
        </w:tc>
      </w:tr>
    </w:tbl>
    <w:p w14:paraId="09EE0F21" w14:textId="7BE6710F" w:rsidR="00474EB3" w:rsidRPr="009C2361" w:rsidRDefault="009C415D" w:rsidP="00F8785C">
      <w:pPr>
        <w:widowControl/>
        <w:snapToGrid w:val="0"/>
        <w:spacing w:line="360" w:lineRule="auto"/>
        <w:ind w:firstLineChars="200" w:firstLine="482"/>
        <w:rPr>
          <w:rFonts w:asciiTheme="minorEastAsia" w:eastAsiaTheme="minorEastAsia" w:hAnsiTheme="minorEastAsia"/>
          <w:b/>
          <w:color w:val="000000"/>
          <w:sz w:val="24"/>
          <w:szCs w:val="24"/>
        </w:rPr>
      </w:pPr>
      <w:r w:rsidRPr="009C2361">
        <w:rPr>
          <w:rFonts w:asciiTheme="minorEastAsia" w:eastAsiaTheme="minorEastAsia" w:hAnsiTheme="minorEastAsia" w:hint="eastAsia"/>
          <w:b/>
          <w:color w:val="000000"/>
          <w:sz w:val="24"/>
          <w:szCs w:val="24"/>
        </w:rPr>
        <w:t>二、</w:t>
      </w:r>
      <w:r w:rsidR="000739E1" w:rsidRPr="009C2361">
        <w:rPr>
          <w:rFonts w:asciiTheme="minorEastAsia" w:eastAsiaTheme="minorEastAsia" w:hAnsiTheme="minorEastAsia" w:hint="eastAsia"/>
          <w:b/>
          <w:color w:val="000000"/>
          <w:sz w:val="24"/>
          <w:szCs w:val="24"/>
        </w:rPr>
        <w:t>解除</w:t>
      </w:r>
      <w:r w:rsidR="008124D8" w:rsidRPr="009C2361">
        <w:rPr>
          <w:rFonts w:asciiTheme="minorEastAsia" w:eastAsiaTheme="minorEastAsia" w:hAnsiTheme="minorEastAsia" w:hint="eastAsia"/>
          <w:b/>
          <w:color w:val="000000"/>
          <w:sz w:val="24"/>
          <w:szCs w:val="24"/>
        </w:rPr>
        <w:t>限售份额基本情况</w:t>
      </w:r>
    </w:p>
    <w:p w14:paraId="0BDC2A3F" w14:textId="77777777" w:rsidR="000739E1" w:rsidRPr="009C2361" w:rsidRDefault="000739E1" w:rsidP="00F8785C">
      <w:pPr>
        <w:widowControl/>
        <w:snapToGrid w:val="0"/>
        <w:spacing w:line="360" w:lineRule="auto"/>
        <w:ind w:firstLineChars="200" w:firstLine="482"/>
        <w:rPr>
          <w:rFonts w:asciiTheme="minorEastAsia" w:eastAsiaTheme="minorEastAsia" w:hAnsiTheme="minorEastAsia"/>
          <w:b/>
          <w:color w:val="000000"/>
          <w:sz w:val="24"/>
          <w:szCs w:val="24"/>
        </w:rPr>
      </w:pPr>
      <w:r w:rsidRPr="009C2361">
        <w:rPr>
          <w:rFonts w:asciiTheme="minorEastAsia" w:eastAsiaTheme="minorEastAsia" w:hAnsiTheme="minorEastAsia" w:hint="eastAsia"/>
          <w:b/>
          <w:color w:val="000000"/>
          <w:sz w:val="24"/>
          <w:szCs w:val="24"/>
        </w:rPr>
        <w:t>（一）公募REITs场内份额解除限售</w:t>
      </w:r>
    </w:p>
    <w:p w14:paraId="2A360881" w14:textId="45634293" w:rsidR="000739E1" w:rsidRPr="009C2361" w:rsidRDefault="008669EF" w:rsidP="00F8785C">
      <w:pPr>
        <w:widowControl/>
        <w:snapToGrid w:val="0"/>
        <w:spacing w:line="360" w:lineRule="auto"/>
        <w:ind w:firstLineChars="200" w:firstLine="482"/>
        <w:rPr>
          <w:rFonts w:asciiTheme="minorEastAsia" w:eastAsiaTheme="minorEastAsia" w:hAnsiTheme="minorEastAsia"/>
          <w:b/>
          <w:color w:val="000000"/>
          <w:sz w:val="24"/>
          <w:szCs w:val="24"/>
        </w:rPr>
      </w:pPr>
      <w:r w:rsidRPr="009C2361">
        <w:rPr>
          <w:rFonts w:asciiTheme="minorEastAsia" w:eastAsiaTheme="minorEastAsia" w:hAnsiTheme="minorEastAsia" w:hint="eastAsia"/>
          <w:b/>
          <w:color w:val="000000"/>
          <w:sz w:val="24"/>
          <w:szCs w:val="24"/>
        </w:rPr>
        <w:t>1</w:t>
      </w:r>
      <w:r w:rsidRPr="009C2361">
        <w:rPr>
          <w:rFonts w:asciiTheme="minorEastAsia" w:eastAsiaTheme="minorEastAsia" w:hAnsiTheme="minorEastAsia"/>
          <w:b/>
          <w:color w:val="000000"/>
          <w:sz w:val="24"/>
          <w:szCs w:val="24"/>
        </w:rPr>
        <w:t>.</w:t>
      </w:r>
      <w:r w:rsidR="000739E1" w:rsidRPr="009C2361">
        <w:rPr>
          <w:rFonts w:asciiTheme="minorEastAsia" w:eastAsiaTheme="minorEastAsia" w:hAnsiTheme="minorEastAsia" w:hint="eastAsia"/>
          <w:b/>
          <w:color w:val="000000"/>
          <w:sz w:val="24"/>
          <w:szCs w:val="24"/>
        </w:rPr>
        <w:t>本次解除限售的份额情况：</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39"/>
        <w:gridCol w:w="2552"/>
        <w:gridCol w:w="2268"/>
        <w:gridCol w:w="1588"/>
      </w:tblGrid>
      <w:tr w:rsidR="000739E1" w:rsidRPr="009C2361" w14:paraId="190B4D4C" w14:textId="77777777" w:rsidTr="00F8785C">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F96200" w14:textId="77777777" w:rsidR="000739E1" w:rsidRPr="009C2361" w:rsidRDefault="000739E1" w:rsidP="00055197">
            <w:pPr>
              <w:snapToGrid w:val="0"/>
              <w:jc w:val="center"/>
              <w:rPr>
                <w:rFonts w:asciiTheme="minorEastAsia" w:eastAsiaTheme="minorEastAsia" w:hAnsiTheme="minorEastAsia"/>
                <w:b/>
                <w:sz w:val="24"/>
                <w:szCs w:val="24"/>
              </w:rPr>
            </w:pPr>
            <w:r w:rsidRPr="009C2361">
              <w:rPr>
                <w:rFonts w:asciiTheme="minorEastAsia" w:eastAsiaTheme="minorEastAsia" w:hAnsiTheme="minorEastAsia" w:hint="eastAsia"/>
                <w:b/>
                <w:sz w:val="24"/>
                <w:szCs w:val="24"/>
              </w:rPr>
              <w:t>序号</w:t>
            </w:r>
          </w:p>
        </w:tc>
        <w:tc>
          <w:tcPr>
            <w:tcW w:w="2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316813" w14:textId="77777777" w:rsidR="000739E1" w:rsidRPr="009C2361" w:rsidRDefault="000739E1" w:rsidP="00055197">
            <w:pPr>
              <w:snapToGrid w:val="0"/>
              <w:jc w:val="center"/>
              <w:rPr>
                <w:rFonts w:asciiTheme="minorEastAsia" w:eastAsiaTheme="minorEastAsia" w:hAnsiTheme="minorEastAsia"/>
                <w:b/>
                <w:sz w:val="24"/>
                <w:szCs w:val="24"/>
              </w:rPr>
            </w:pPr>
            <w:r w:rsidRPr="009C2361">
              <w:rPr>
                <w:rFonts w:asciiTheme="minorEastAsia" w:eastAsiaTheme="minorEastAsia" w:hAnsiTheme="minorEastAsia" w:hint="eastAsia"/>
                <w:b/>
                <w:sz w:val="24"/>
                <w:szCs w:val="24"/>
              </w:rPr>
              <w:t>证券账户名称</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728515" w14:textId="77777777" w:rsidR="000739E1" w:rsidRPr="009C2361" w:rsidRDefault="000739E1" w:rsidP="00055197">
            <w:pPr>
              <w:snapToGrid w:val="0"/>
              <w:jc w:val="center"/>
              <w:rPr>
                <w:rFonts w:asciiTheme="minorEastAsia" w:eastAsiaTheme="minorEastAsia" w:hAnsiTheme="minorEastAsia"/>
                <w:b/>
                <w:sz w:val="24"/>
                <w:szCs w:val="24"/>
              </w:rPr>
            </w:pPr>
            <w:r w:rsidRPr="009C2361">
              <w:rPr>
                <w:rFonts w:asciiTheme="minorEastAsia" w:eastAsiaTheme="minorEastAsia" w:hAnsiTheme="minorEastAsia" w:hint="eastAsia"/>
                <w:b/>
                <w:sz w:val="24"/>
                <w:szCs w:val="24"/>
              </w:rPr>
              <w:t>限售份额（份）</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684ADA" w14:textId="77777777" w:rsidR="000739E1" w:rsidRPr="009C2361" w:rsidRDefault="000739E1" w:rsidP="00055197">
            <w:pPr>
              <w:snapToGrid w:val="0"/>
              <w:jc w:val="center"/>
              <w:rPr>
                <w:rFonts w:asciiTheme="minorEastAsia" w:eastAsiaTheme="minorEastAsia" w:hAnsiTheme="minorEastAsia"/>
                <w:b/>
                <w:sz w:val="24"/>
                <w:szCs w:val="24"/>
              </w:rPr>
            </w:pPr>
            <w:r w:rsidRPr="009C2361">
              <w:rPr>
                <w:rFonts w:asciiTheme="minorEastAsia" w:eastAsiaTheme="minorEastAsia" w:hAnsiTheme="minorEastAsia" w:hint="eastAsia"/>
                <w:b/>
                <w:sz w:val="24"/>
                <w:szCs w:val="24"/>
              </w:rPr>
              <w:t>限售类型</w:t>
            </w:r>
          </w:p>
        </w:tc>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0C46F7" w14:textId="78107075" w:rsidR="000739E1" w:rsidRPr="009C2361" w:rsidRDefault="000739E1" w:rsidP="00055197">
            <w:pPr>
              <w:snapToGrid w:val="0"/>
              <w:jc w:val="center"/>
              <w:rPr>
                <w:rFonts w:asciiTheme="minorEastAsia" w:eastAsiaTheme="minorEastAsia" w:hAnsiTheme="minorEastAsia"/>
                <w:b/>
                <w:sz w:val="24"/>
                <w:szCs w:val="24"/>
              </w:rPr>
            </w:pPr>
            <w:r w:rsidRPr="009C2361">
              <w:rPr>
                <w:rFonts w:asciiTheme="minorEastAsia" w:eastAsiaTheme="minorEastAsia" w:hAnsiTheme="minorEastAsia" w:hint="eastAsia"/>
                <w:b/>
                <w:sz w:val="24"/>
                <w:szCs w:val="24"/>
              </w:rPr>
              <w:t>限售期（月）</w:t>
            </w:r>
          </w:p>
        </w:tc>
      </w:tr>
      <w:tr w:rsidR="005A7AEB" w:rsidRPr="009C2361" w14:paraId="6A392632" w14:textId="77777777" w:rsidTr="00F8785C">
        <w:trPr>
          <w:trHeight w:val="319"/>
        </w:trPr>
        <w:tc>
          <w:tcPr>
            <w:tcW w:w="709" w:type="dxa"/>
            <w:tcBorders>
              <w:top w:val="single" w:sz="4" w:space="0" w:color="auto"/>
              <w:left w:val="single" w:sz="4" w:space="0" w:color="auto"/>
              <w:bottom w:val="single" w:sz="4" w:space="0" w:color="auto"/>
              <w:right w:val="single" w:sz="4" w:space="0" w:color="auto"/>
            </w:tcBorders>
            <w:vAlign w:val="center"/>
          </w:tcPr>
          <w:p w14:paraId="6E580697" w14:textId="4C0BED67" w:rsidR="005A7AEB" w:rsidRPr="009C2361" w:rsidRDefault="005A7AEB" w:rsidP="005A7AEB">
            <w:pPr>
              <w:snapToGrid w:val="0"/>
              <w:jc w:val="center"/>
              <w:rPr>
                <w:rFonts w:asciiTheme="minorEastAsia" w:eastAsiaTheme="minorEastAsia" w:hAnsiTheme="minorEastAsia"/>
                <w:sz w:val="24"/>
                <w:szCs w:val="24"/>
              </w:rPr>
            </w:pPr>
            <w:r w:rsidRPr="009C2361">
              <w:rPr>
                <w:rFonts w:asciiTheme="minorEastAsia" w:eastAsiaTheme="minorEastAsia" w:hAnsiTheme="minorEastAsia"/>
                <w:color w:val="000000"/>
                <w:sz w:val="24"/>
                <w:szCs w:val="24"/>
              </w:rPr>
              <w:t>1</w:t>
            </w:r>
          </w:p>
        </w:tc>
        <w:tc>
          <w:tcPr>
            <w:tcW w:w="2239" w:type="dxa"/>
            <w:tcBorders>
              <w:top w:val="single" w:sz="4" w:space="0" w:color="auto"/>
              <w:left w:val="single" w:sz="4" w:space="0" w:color="auto"/>
              <w:bottom w:val="single" w:sz="4" w:space="0" w:color="auto"/>
              <w:right w:val="single" w:sz="4" w:space="0" w:color="auto"/>
            </w:tcBorders>
            <w:vAlign w:val="center"/>
          </w:tcPr>
          <w:p w14:paraId="4201D188" w14:textId="009F60C3" w:rsidR="005A7AEB" w:rsidRPr="009C2361" w:rsidRDefault="005A7AEB" w:rsidP="005A7AEB">
            <w:pPr>
              <w:jc w:val="center"/>
              <w:rPr>
                <w:rFonts w:asciiTheme="minorEastAsia" w:eastAsiaTheme="minorEastAsia" w:hAnsiTheme="minorEastAsia" w:cs="宋体"/>
                <w:color w:val="000000"/>
                <w:sz w:val="24"/>
                <w:szCs w:val="24"/>
              </w:rPr>
            </w:pPr>
            <w:r w:rsidRPr="009C2361">
              <w:rPr>
                <w:rFonts w:asciiTheme="minorEastAsia" w:eastAsiaTheme="minorEastAsia" w:hAnsiTheme="minorEastAsia" w:hint="eastAsia"/>
                <w:color w:val="000000"/>
                <w:sz w:val="24"/>
                <w:szCs w:val="24"/>
              </w:rPr>
              <w:t>三峡资本控股有限责任公司</w:t>
            </w:r>
          </w:p>
        </w:tc>
        <w:tc>
          <w:tcPr>
            <w:tcW w:w="2552" w:type="dxa"/>
            <w:tcBorders>
              <w:top w:val="single" w:sz="4" w:space="0" w:color="auto"/>
              <w:left w:val="single" w:sz="4" w:space="0" w:color="auto"/>
              <w:bottom w:val="single" w:sz="4" w:space="0" w:color="auto"/>
              <w:right w:val="single" w:sz="4" w:space="0" w:color="auto"/>
            </w:tcBorders>
            <w:vAlign w:val="center"/>
          </w:tcPr>
          <w:p w14:paraId="5AD01FDA" w14:textId="7D4FD23B" w:rsidR="005A7AEB" w:rsidRPr="009C2361" w:rsidRDefault="005A7AEB" w:rsidP="005A7AEB">
            <w:pPr>
              <w:jc w:val="center"/>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 xml:space="preserve">   42,500,000.00 </w:t>
            </w:r>
          </w:p>
        </w:tc>
        <w:tc>
          <w:tcPr>
            <w:tcW w:w="2268" w:type="dxa"/>
            <w:tcBorders>
              <w:top w:val="single" w:sz="4" w:space="0" w:color="auto"/>
              <w:left w:val="single" w:sz="4" w:space="0" w:color="auto"/>
              <w:bottom w:val="single" w:sz="4" w:space="0" w:color="auto"/>
              <w:right w:val="single" w:sz="4" w:space="0" w:color="auto"/>
            </w:tcBorders>
          </w:tcPr>
          <w:p w14:paraId="7D62D90A" w14:textId="7A4126E1" w:rsidR="005A7AEB" w:rsidRPr="009C2361" w:rsidRDefault="005A7AEB" w:rsidP="005A7AEB">
            <w:pPr>
              <w:snapToGrid w:val="0"/>
              <w:rPr>
                <w:rFonts w:asciiTheme="minorEastAsia" w:eastAsiaTheme="minorEastAsia" w:hAnsiTheme="minorEastAsia"/>
                <w:sz w:val="24"/>
                <w:szCs w:val="24"/>
              </w:rPr>
            </w:pPr>
            <w:r w:rsidRPr="009C2361">
              <w:rPr>
                <w:rFonts w:asciiTheme="minorEastAsia" w:eastAsiaTheme="minorEastAsia" w:hAnsiTheme="minorEastAsia" w:hint="eastAsia"/>
                <w:color w:val="000000"/>
                <w:sz w:val="24"/>
                <w:szCs w:val="24"/>
              </w:rPr>
              <w:t>其他专业机构投资者战略配售限售</w:t>
            </w:r>
          </w:p>
        </w:tc>
        <w:tc>
          <w:tcPr>
            <w:tcW w:w="1588" w:type="dxa"/>
            <w:tcBorders>
              <w:top w:val="single" w:sz="4" w:space="0" w:color="auto"/>
              <w:left w:val="single" w:sz="4" w:space="0" w:color="auto"/>
              <w:bottom w:val="single" w:sz="4" w:space="0" w:color="auto"/>
              <w:right w:val="single" w:sz="4" w:space="0" w:color="auto"/>
            </w:tcBorders>
            <w:vAlign w:val="center"/>
          </w:tcPr>
          <w:p w14:paraId="542D5595" w14:textId="307D7E73" w:rsidR="005A7AEB" w:rsidRPr="009C2361" w:rsidRDefault="005A7AEB" w:rsidP="005A7AEB">
            <w:pPr>
              <w:snapToGrid w:val="0"/>
              <w:jc w:val="center"/>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12</w:t>
            </w:r>
          </w:p>
        </w:tc>
      </w:tr>
      <w:tr w:rsidR="005A7AEB" w:rsidRPr="009C2361" w14:paraId="2D8DB2D0" w14:textId="77777777" w:rsidTr="00F8785C">
        <w:trPr>
          <w:trHeight w:val="319"/>
        </w:trPr>
        <w:tc>
          <w:tcPr>
            <w:tcW w:w="709" w:type="dxa"/>
            <w:tcBorders>
              <w:top w:val="single" w:sz="4" w:space="0" w:color="auto"/>
              <w:left w:val="single" w:sz="4" w:space="0" w:color="auto"/>
              <w:bottom w:val="single" w:sz="4" w:space="0" w:color="auto"/>
              <w:right w:val="single" w:sz="4" w:space="0" w:color="auto"/>
            </w:tcBorders>
            <w:vAlign w:val="center"/>
          </w:tcPr>
          <w:p w14:paraId="1DC646C1" w14:textId="5968CD3B" w:rsidR="005A7AEB" w:rsidRPr="009C2361" w:rsidRDefault="005A7AEB" w:rsidP="005A7AEB">
            <w:pPr>
              <w:snapToGrid w:val="0"/>
              <w:jc w:val="center"/>
              <w:rPr>
                <w:rFonts w:asciiTheme="minorEastAsia" w:eastAsiaTheme="minorEastAsia" w:hAnsiTheme="minorEastAsia"/>
                <w:sz w:val="24"/>
                <w:szCs w:val="24"/>
              </w:rPr>
            </w:pPr>
            <w:r w:rsidRPr="009C2361">
              <w:rPr>
                <w:rFonts w:asciiTheme="minorEastAsia" w:eastAsiaTheme="minorEastAsia" w:hAnsiTheme="minorEastAsia"/>
                <w:color w:val="000000"/>
                <w:sz w:val="24"/>
                <w:szCs w:val="24"/>
              </w:rPr>
              <w:t>2</w:t>
            </w:r>
          </w:p>
        </w:tc>
        <w:tc>
          <w:tcPr>
            <w:tcW w:w="2239" w:type="dxa"/>
            <w:tcBorders>
              <w:top w:val="single" w:sz="4" w:space="0" w:color="auto"/>
              <w:left w:val="single" w:sz="4" w:space="0" w:color="auto"/>
              <w:bottom w:val="single" w:sz="4" w:space="0" w:color="auto"/>
              <w:right w:val="single" w:sz="4" w:space="0" w:color="auto"/>
            </w:tcBorders>
            <w:vAlign w:val="center"/>
          </w:tcPr>
          <w:p w14:paraId="5A951A8D" w14:textId="249626E7" w:rsidR="005A7AEB" w:rsidRPr="009C2361" w:rsidRDefault="005A7AEB" w:rsidP="005A7AEB">
            <w:pPr>
              <w:jc w:val="center"/>
              <w:rPr>
                <w:rFonts w:asciiTheme="minorEastAsia" w:eastAsiaTheme="minorEastAsia" w:hAnsiTheme="minorEastAsia" w:cs="宋体"/>
                <w:color w:val="000000"/>
                <w:sz w:val="24"/>
                <w:szCs w:val="24"/>
              </w:rPr>
            </w:pPr>
            <w:r w:rsidRPr="009C2361">
              <w:rPr>
                <w:rFonts w:asciiTheme="minorEastAsia" w:eastAsiaTheme="minorEastAsia" w:hAnsiTheme="minorEastAsia" w:hint="eastAsia"/>
                <w:color w:val="000000"/>
                <w:sz w:val="24"/>
                <w:szCs w:val="24"/>
              </w:rPr>
              <w:t>北京首钢基金有限公司</w:t>
            </w:r>
          </w:p>
        </w:tc>
        <w:tc>
          <w:tcPr>
            <w:tcW w:w="2552" w:type="dxa"/>
            <w:tcBorders>
              <w:top w:val="single" w:sz="4" w:space="0" w:color="auto"/>
              <w:left w:val="single" w:sz="4" w:space="0" w:color="auto"/>
              <w:bottom w:val="single" w:sz="4" w:space="0" w:color="auto"/>
              <w:right w:val="single" w:sz="4" w:space="0" w:color="auto"/>
            </w:tcBorders>
            <w:vAlign w:val="center"/>
          </w:tcPr>
          <w:p w14:paraId="25287528" w14:textId="2F5F36EC" w:rsidR="005A7AEB" w:rsidRPr="009C2361" w:rsidRDefault="005A7AEB" w:rsidP="005A7AEB">
            <w:pPr>
              <w:jc w:val="center"/>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 xml:space="preserve">   25,000,000.00 </w:t>
            </w:r>
          </w:p>
        </w:tc>
        <w:tc>
          <w:tcPr>
            <w:tcW w:w="2268" w:type="dxa"/>
            <w:tcBorders>
              <w:top w:val="single" w:sz="4" w:space="0" w:color="auto"/>
              <w:left w:val="single" w:sz="4" w:space="0" w:color="auto"/>
              <w:bottom w:val="single" w:sz="4" w:space="0" w:color="auto"/>
              <w:right w:val="single" w:sz="4" w:space="0" w:color="auto"/>
            </w:tcBorders>
          </w:tcPr>
          <w:p w14:paraId="1C234285" w14:textId="72CACEC1" w:rsidR="005A7AEB" w:rsidRPr="009C2361" w:rsidRDefault="005A7AEB" w:rsidP="005A7AEB">
            <w:pPr>
              <w:snapToGrid w:val="0"/>
              <w:rPr>
                <w:rFonts w:asciiTheme="minorEastAsia" w:eastAsiaTheme="minorEastAsia" w:hAnsiTheme="minorEastAsia"/>
                <w:sz w:val="24"/>
                <w:szCs w:val="24"/>
              </w:rPr>
            </w:pPr>
            <w:r w:rsidRPr="009C2361">
              <w:rPr>
                <w:rFonts w:asciiTheme="minorEastAsia" w:eastAsiaTheme="minorEastAsia" w:hAnsiTheme="minorEastAsia" w:hint="eastAsia"/>
                <w:color w:val="000000"/>
                <w:sz w:val="24"/>
                <w:szCs w:val="24"/>
              </w:rPr>
              <w:t>其他专业机构投资者战略配售限售</w:t>
            </w:r>
          </w:p>
        </w:tc>
        <w:tc>
          <w:tcPr>
            <w:tcW w:w="1588" w:type="dxa"/>
            <w:tcBorders>
              <w:top w:val="single" w:sz="4" w:space="0" w:color="auto"/>
              <w:left w:val="single" w:sz="4" w:space="0" w:color="auto"/>
              <w:bottom w:val="single" w:sz="4" w:space="0" w:color="auto"/>
              <w:right w:val="single" w:sz="4" w:space="0" w:color="auto"/>
            </w:tcBorders>
            <w:vAlign w:val="center"/>
          </w:tcPr>
          <w:p w14:paraId="0FBBAAA2" w14:textId="696AA5D7" w:rsidR="005A7AEB" w:rsidRPr="009C2361" w:rsidRDefault="005A7AEB" w:rsidP="005A7AEB">
            <w:pPr>
              <w:snapToGrid w:val="0"/>
              <w:jc w:val="center"/>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12</w:t>
            </w:r>
          </w:p>
        </w:tc>
      </w:tr>
      <w:tr w:rsidR="005A7AEB" w:rsidRPr="009C2361" w14:paraId="236C09F4" w14:textId="77777777" w:rsidTr="00F8785C">
        <w:trPr>
          <w:trHeight w:val="319"/>
        </w:trPr>
        <w:tc>
          <w:tcPr>
            <w:tcW w:w="709" w:type="dxa"/>
            <w:tcBorders>
              <w:top w:val="single" w:sz="4" w:space="0" w:color="auto"/>
              <w:left w:val="single" w:sz="4" w:space="0" w:color="auto"/>
              <w:bottom w:val="single" w:sz="4" w:space="0" w:color="auto"/>
              <w:right w:val="single" w:sz="4" w:space="0" w:color="auto"/>
            </w:tcBorders>
            <w:vAlign w:val="center"/>
          </w:tcPr>
          <w:p w14:paraId="5DB97F2C" w14:textId="3B692051" w:rsidR="005A7AEB" w:rsidRPr="009C2361" w:rsidRDefault="005A7AEB" w:rsidP="005A7AEB">
            <w:pPr>
              <w:snapToGrid w:val="0"/>
              <w:jc w:val="center"/>
              <w:rPr>
                <w:rFonts w:asciiTheme="minorEastAsia" w:eastAsiaTheme="minorEastAsia" w:hAnsiTheme="minorEastAsia"/>
                <w:sz w:val="24"/>
                <w:szCs w:val="24"/>
              </w:rPr>
            </w:pPr>
            <w:r w:rsidRPr="009C2361">
              <w:rPr>
                <w:rFonts w:asciiTheme="minorEastAsia" w:eastAsiaTheme="minorEastAsia" w:hAnsiTheme="minorEastAsia"/>
                <w:color w:val="000000"/>
                <w:sz w:val="24"/>
                <w:szCs w:val="24"/>
              </w:rPr>
              <w:t>3</w:t>
            </w:r>
          </w:p>
        </w:tc>
        <w:tc>
          <w:tcPr>
            <w:tcW w:w="2239" w:type="dxa"/>
            <w:tcBorders>
              <w:top w:val="single" w:sz="4" w:space="0" w:color="auto"/>
              <w:left w:val="single" w:sz="4" w:space="0" w:color="auto"/>
              <w:bottom w:val="single" w:sz="4" w:space="0" w:color="auto"/>
              <w:right w:val="single" w:sz="4" w:space="0" w:color="auto"/>
            </w:tcBorders>
            <w:vAlign w:val="center"/>
          </w:tcPr>
          <w:p w14:paraId="3050A16A" w14:textId="4B099CE4" w:rsidR="005A7AEB" w:rsidRPr="009C2361" w:rsidRDefault="005A7AEB" w:rsidP="005A7AEB">
            <w:pPr>
              <w:jc w:val="center"/>
              <w:rPr>
                <w:rFonts w:asciiTheme="minorEastAsia" w:eastAsiaTheme="minorEastAsia" w:hAnsiTheme="minorEastAsia" w:cs="宋体"/>
                <w:color w:val="000000"/>
                <w:sz w:val="24"/>
                <w:szCs w:val="24"/>
              </w:rPr>
            </w:pPr>
            <w:r w:rsidRPr="009C2361">
              <w:rPr>
                <w:rFonts w:asciiTheme="minorEastAsia" w:eastAsiaTheme="minorEastAsia" w:hAnsiTheme="minorEastAsia" w:hint="eastAsia"/>
                <w:color w:val="000000"/>
                <w:sz w:val="24"/>
                <w:szCs w:val="24"/>
              </w:rPr>
              <w:t>光大证券资管－光大银行－光证资管诚享7号集合资产管理计划</w:t>
            </w:r>
          </w:p>
        </w:tc>
        <w:tc>
          <w:tcPr>
            <w:tcW w:w="2552" w:type="dxa"/>
            <w:tcBorders>
              <w:top w:val="single" w:sz="4" w:space="0" w:color="auto"/>
              <w:left w:val="single" w:sz="4" w:space="0" w:color="auto"/>
              <w:bottom w:val="single" w:sz="4" w:space="0" w:color="auto"/>
              <w:right w:val="single" w:sz="4" w:space="0" w:color="auto"/>
            </w:tcBorders>
            <w:vAlign w:val="center"/>
          </w:tcPr>
          <w:p w14:paraId="204D1E9A" w14:textId="4AD4AC05" w:rsidR="005A7AEB" w:rsidRPr="009C2361" w:rsidRDefault="005A7AEB" w:rsidP="005A7AEB">
            <w:pPr>
              <w:jc w:val="center"/>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 xml:space="preserve">   15,000,000.00 </w:t>
            </w:r>
          </w:p>
        </w:tc>
        <w:tc>
          <w:tcPr>
            <w:tcW w:w="2268" w:type="dxa"/>
            <w:tcBorders>
              <w:top w:val="single" w:sz="4" w:space="0" w:color="auto"/>
              <w:left w:val="single" w:sz="4" w:space="0" w:color="auto"/>
              <w:bottom w:val="single" w:sz="4" w:space="0" w:color="auto"/>
              <w:right w:val="single" w:sz="4" w:space="0" w:color="auto"/>
            </w:tcBorders>
          </w:tcPr>
          <w:p w14:paraId="499BAB2C" w14:textId="5BD829CF" w:rsidR="005A7AEB" w:rsidRPr="009C2361" w:rsidRDefault="005A7AEB" w:rsidP="005A7AEB">
            <w:pPr>
              <w:snapToGrid w:val="0"/>
              <w:rPr>
                <w:rFonts w:asciiTheme="minorEastAsia" w:eastAsiaTheme="minorEastAsia" w:hAnsiTheme="minorEastAsia"/>
                <w:sz w:val="24"/>
                <w:szCs w:val="24"/>
              </w:rPr>
            </w:pPr>
            <w:r w:rsidRPr="009C2361">
              <w:rPr>
                <w:rFonts w:asciiTheme="minorEastAsia" w:eastAsiaTheme="minorEastAsia" w:hAnsiTheme="minorEastAsia" w:hint="eastAsia"/>
                <w:color w:val="000000"/>
                <w:sz w:val="24"/>
                <w:szCs w:val="24"/>
              </w:rPr>
              <w:t>其他专业机构投资者战略配售限售</w:t>
            </w:r>
          </w:p>
        </w:tc>
        <w:tc>
          <w:tcPr>
            <w:tcW w:w="1588" w:type="dxa"/>
            <w:tcBorders>
              <w:top w:val="single" w:sz="4" w:space="0" w:color="auto"/>
              <w:left w:val="single" w:sz="4" w:space="0" w:color="auto"/>
              <w:bottom w:val="single" w:sz="4" w:space="0" w:color="auto"/>
              <w:right w:val="single" w:sz="4" w:space="0" w:color="auto"/>
            </w:tcBorders>
            <w:vAlign w:val="center"/>
          </w:tcPr>
          <w:p w14:paraId="74029DC8" w14:textId="0EC8DCEB" w:rsidR="005A7AEB" w:rsidRPr="009C2361" w:rsidRDefault="005A7AEB" w:rsidP="005A7AEB">
            <w:pPr>
              <w:snapToGrid w:val="0"/>
              <w:jc w:val="center"/>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12</w:t>
            </w:r>
          </w:p>
        </w:tc>
      </w:tr>
      <w:tr w:rsidR="005A7AEB" w:rsidRPr="009C2361" w14:paraId="7CB8384C" w14:textId="77777777" w:rsidTr="00F8785C">
        <w:trPr>
          <w:trHeight w:val="319"/>
        </w:trPr>
        <w:tc>
          <w:tcPr>
            <w:tcW w:w="709" w:type="dxa"/>
            <w:tcBorders>
              <w:top w:val="single" w:sz="4" w:space="0" w:color="auto"/>
              <w:left w:val="single" w:sz="4" w:space="0" w:color="auto"/>
              <w:bottom w:val="single" w:sz="4" w:space="0" w:color="auto"/>
              <w:right w:val="single" w:sz="4" w:space="0" w:color="auto"/>
            </w:tcBorders>
            <w:vAlign w:val="center"/>
          </w:tcPr>
          <w:p w14:paraId="000758D6" w14:textId="4ACFDA5E" w:rsidR="005A7AEB" w:rsidRPr="009C2361" w:rsidRDefault="005A7AEB" w:rsidP="005A7AEB">
            <w:pPr>
              <w:snapToGrid w:val="0"/>
              <w:jc w:val="center"/>
              <w:rPr>
                <w:rFonts w:asciiTheme="minorEastAsia" w:eastAsiaTheme="minorEastAsia" w:hAnsiTheme="minorEastAsia"/>
                <w:sz w:val="24"/>
                <w:szCs w:val="24"/>
              </w:rPr>
            </w:pPr>
            <w:r w:rsidRPr="009C2361">
              <w:rPr>
                <w:rFonts w:asciiTheme="minorEastAsia" w:eastAsiaTheme="minorEastAsia" w:hAnsiTheme="minorEastAsia"/>
                <w:color w:val="000000"/>
                <w:sz w:val="24"/>
                <w:szCs w:val="24"/>
              </w:rPr>
              <w:t>4</w:t>
            </w:r>
          </w:p>
        </w:tc>
        <w:tc>
          <w:tcPr>
            <w:tcW w:w="2239" w:type="dxa"/>
            <w:tcBorders>
              <w:top w:val="single" w:sz="4" w:space="0" w:color="auto"/>
              <w:left w:val="single" w:sz="4" w:space="0" w:color="auto"/>
              <w:bottom w:val="single" w:sz="4" w:space="0" w:color="auto"/>
              <w:right w:val="single" w:sz="4" w:space="0" w:color="auto"/>
            </w:tcBorders>
            <w:vAlign w:val="center"/>
          </w:tcPr>
          <w:p w14:paraId="34E7C310" w14:textId="22F92E6D" w:rsidR="005A7AEB" w:rsidRPr="009C2361" w:rsidRDefault="005A7AEB" w:rsidP="005A7AEB">
            <w:pPr>
              <w:jc w:val="center"/>
              <w:rPr>
                <w:rFonts w:asciiTheme="minorEastAsia" w:eastAsiaTheme="minorEastAsia" w:hAnsiTheme="minorEastAsia" w:cs="宋体"/>
                <w:color w:val="000000"/>
                <w:sz w:val="24"/>
                <w:szCs w:val="24"/>
              </w:rPr>
            </w:pPr>
            <w:r w:rsidRPr="009C2361">
              <w:rPr>
                <w:rFonts w:asciiTheme="minorEastAsia" w:eastAsiaTheme="minorEastAsia" w:hAnsiTheme="minorEastAsia" w:hint="eastAsia"/>
                <w:color w:val="000000"/>
                <w:sz w:val="24"/>
                <w:szCs w:val="24"/>
              </w:rPr>
              <w:t>中保投资有限责任公司－中国保险投资基金（有限合伙）</w:t>
            </w:r>
          </w:p>
        </w:tc>
        <w:tc>
          <w:tcPr>
            <w:tcW w:w="2552" w:type="dxa"/>
            <w:tcBorders>
              <w:top w:val="single" w:sz="4" w:space="0" w:color="auto"/>
              <w:left w:val="single" w:sz="4" w:space="0" w:color="auto"/>
              <w:bottom w:val="single" w:sz="4" w:space="0" w:color="auto"/>
              <w:right w:val="single" w:sz="4" w:space="0" w:color="auto"/>
            </w:tcBorders>
            <w:vAlign w:val="center"/>
          </w:tcPr>
          <w:p w14:paraId="3A3314EE" w14:textId="4C76E31D" w:rsidR="005A7AEB" w:rsidRPr="009C2361" w:rsidRDefault="005A7AEB" w:rsidP="005A7AEB">
            <w:pPr>
              <w:jc w:val="center"/>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 xml:space="preserve">    6,000,000.00 </w:t>
            </w:r>
          </w:p>
        </w:tc>
        <w:tc>
          <w:tcPr>
            <w:tcW w:w="2268" w:type="dxa"/>
            <w:tcBorders>
              <w:top w:val="single" w:sz="4" w:space="0" w:color="auto"/>
              <w:left w:val="single" w:sz="4" w:space="0" w:color="auto"/>
              <w:bottom w:val="single" w:sz="4" w:space="0" w:color="auto"/>
              <w:right w:val="single" w:sz="4" w:space="0" w:color="auto"/>
            </w:tcBorders>
          </w:tcPr>
          <w:p w14:paraId="54B6C6F3" w14:textId="07F3AF5F" w:rsidR="005A7AEB" w:rsidRPr="009C2361" w:rsidRDefault="005A7AEB" w:rsidP="005A7AEB">
            <w:pPr>
              <w:snapToGrid w:val="0"/>
              <w:rPr>
                <w:rFonts w:asciiTheme="minorEastAsia" w:eastAsiaTheme="minorEastAsia" w:hAnsiTheme="minorEastAsia"/>
                <w:sz w:val="24"/>
                <w:szCs w:val="24"/>
              </w:rPr>
            </w:pPr>
            <w:r w:rsidRPr="009C2361">
              <w:rPr>
                <w:rFonts w:asciiTheme="minorEastAsia" w:eastAsiaTheme="minorEastAsia" w:hAnsiTheme="minorEastAsia" w:hint="eastAsia"/>
                <w:color w:val="000000"/>
                <w:sz w:val="24"/>
                <w:szCs w:val="24"/>
              </w:rPr>
              <w:t>其他专业机构投资者战略配售限售</w:t>
            </w:r>
          </w:p>
        </w:tc>
        <w:tc>
          <w:tcPr>
            <w:tcW w:w="1588" w:type="dxa"/>
            <w:tcBorders>
              <w:top w:val="single" w:sz="4" w:space="0" w:color="auto"/>
              <w:left w:val="single" w:sz="4" w:space="0" w:color="auto"/>
              <w:bottom w:val="single" w:sz="4" w:space="0" w:color="auto"/>
              <w:right w:val="single" w:sz="4" w:space="0" w:color="auto"/>
            </w:tcBorders>
            <w:vAlign w:val="center"/>
          </w:tcPr>
          <w:p w14:paraId="02FB45FA" w14:textId="2A9B8F34" w:rsidR="005A7AEB" w:rsidRPr="009C2361" w:rsidRDefault="005A7AEB" w:rsidP="005A7AEB">
            <w:pPr>
              <w:snapToGrid w:val="0"/>
              <w:jc w:val="center"/>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12</w:t>
            </w:r>
          </w:p>
        </w:tc>
      </w:tr>
      <w:tr w:rsidR="005A7AEB" w:rsidRPr="009C2361" w14:paraId="26BFAA24" w14:textId="77777777" w:rsidTr="00F8785C">
        <w:trPr>
          <w:trHeight w:val="319"/>
        </w:trPr>
        <w:tc>
          <w:tcPr>
            <w:tcW w:w="709" w:type="dxa"/>
            <w:tcBorders>
              <w:top w:val="single" w:sz="4" w:space="0" w:color="auto"/>
              <w:left w:val="single" w:sz="4" w:space="0" w:color="auto"/>
              <w:bottom w:val="single" w:sz="4" w:space="0" w:color="auto"/>
              <w:right w:val="single" w:sz="4" w:space="0" w:color="auto"/>
            </w:tcBorders>
            <w:vAlign w:val="center"/>
          </w:tcPr>
          <w:p w14:paraId="4254A975" w14:textId="2CD18081" w:rsidR="005A7AEB" w:rsidRPr="009C2361" w:rsidRDefault="005A7AEB" w:rsidP="005A7AEB">
            <w:pPr>
              <w:snapToGrid w:val="0"/>
              <w:jc w:val="center"/>
              <w:rPr>
                <w:rFonts w:asciiTheme="minorEastAsia" w:eastAsiaTheme="minorEastAsia" w:hAnsiTheme="minorEastAsia"/>
                <w:sz w:val="24"/>
                <w:szCs w:val="24"/>
              </w:rPr>
            </w:pPr>
            <w:r w:rsidRPr="009C2361">
              <w:rPr>
                <w:rFonts w:asciiTheme="minorEastAsia" w:eastAsiaTheme="minorEastAsia" w:hAnsiTheme="minorEastAsia"/>
                <w:color w:val="000000"/>
                <w:sz w:val="24"/>
                <w:szCs w:val="24"/>
              </w:rPr>
              <w:t>5</w:t>
            </w:r>
          </w:p>
        </w:tc>
        <w:tc>
          <w:tcPr>
            <w:tcW w:w="2239" w:type="dxa"/>
            <w:tcBorders>
              <w:top w:val="single" w:sz="4" w:space="0" w:color="auto"/>
              <w:left w:val="single" w:sz="4" w:space="0" w:color="auto"/>
              <w:bottom w:val="single" w:sz="4" w:space="0" w:color="auto"/>
              <w:right w:val="single" w:sz="4" w:space="0" w:color="auto"/>
            </w:tcBorders>
            <w:vAlign w:val="center"/>
          </w:tcPr>
          <w:p w14:paraId="44F5C2FF" w14:textId="7C3B9AB1" w:rsidR="005A7AEB" w:rsidRPr="009C2361" w:rsidRDefault="005A7AEB" w:rsidP="005A7AEB">
            <w:pPr>
              <w:jc w:val="center"/>
              <w:rPr>
                <w:rFonts w:asciiTheme="minorEastAsia" w:eastAsiaTheme="minorEastAsia" w:hAnsiTheme="minorEastAsia" w:cs="宋体"/>
                <w:color w:val="000000"/>
                <w:sz w:val="24"/>
                <w:szCs w:val="24"/>
              </w:rPr>
            </w:pPr>
            <w:r w:rsidRPr="009C2361">
              <w:rPr>
                <w:rFonts w:asciiTheme="minorEastAsia" w:eastAsiaTheme="minorEastAsia" w:hAnsiTheme="minorEastAsia" w:hint="eastAsia"/>
                <w:color w:val="000000"/>
                <w:sz w:val="24"/>
                <w:szCs w:val="24"/>
              </w:rPr>
              <w:t>中国银河证券股份有限公司</w:t>
            </w:r>
          </w:p>
        </w:tc>
        <w:tc>
          <w:tcPr>
            <w:tcW w:w="2552" w:type="dxa"/>
            <w:tcBorders>
              <w:top w:val="single" w:sz="4" w:space="0" w:color="auto"/>
              <w:left w:val="single" w:sz="4" w:space="0" w:color="auto"/>
              <w:bottom w:val="single" w:sz="4" w:space="0" w:color="auto"/>
              <w:right w:val="single" w:sz="4" w:space="0" w:color="auto"/>
            </w:tcBorders>
            <w:vAlign w:val="center"/>
          </w:tcPr>
          <w:p w14:paraId="23469425" w14:textId="15AA8398" w:rsidR="005A7AEB" w:rsidRPr="009C2361" w:rsidRDefault="005A7AEB" w:rsidP="005A7AEB">
            <w:pPr>
              <w:jc w:val="center"/>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 xml:space="preserve">    4,000,000.00 </w:t>
            </w:r>
          </w:p>
        </w:tc>
        <w:tc>
          <w:tcPr>
            <w:tcW w:w="2268" w:type="dxa"/>
            <w:tcBorders>
              <w:top w:val="single" w:sz="4" w:space="0" w:color="auto"/>
              <w:left w:val="single" w:sz="4" w:space="0" w:color="auto"/>
              <w:bottom w:val="single" w:sz="4" w:space="0" w:color="auto"/>
              <w:right w:val="single" w:sz="4" w:space="0" w:color="auto"/>
            </w:tcBorders>
          </w:tcPr>
          <w:p w14:paraId="65AE0B4F" w14:textId="49872B78" w:rsidR="005A7AEB" w:rsidRPr="009C2361" w:rsidRDefault="005A7AEB" w:rsidP="005A7AEB">
            <w:pPr>
              <w:snapToGrid w:val="0"/>
              <w:rPr>
                <w:rFonts w:asciiTheme="minorEastAsia" w:eastAsiaTheme="minorEastAsia" w:hAnsiTheme="minorEastAsia"/>
                <w:sz w:val="24"/>
                <w:szCs w:val="24"/>
              </w:rPr>
            </w:pPr>
            <w:r w:rsidRPr="009C2361">
              <w:rPr>
                <w:rFonts w:asciiTheme="minorEastAsia" w:eastAsiaTheme="minorEastAsia" w:hAnsiTheme="minorEastAsia" w:hint="eastAsia"/>
                <w:color w:val="000000"/>
                <w:sz w:val="24"/>
                <w:szCs w:val="24"/>
              </w:rPr>
              <w:t>其他专业机构投资者战略配售限售</w:t>
            </w:r>
          </w:p>
        </w:tc>
        <w:tc>
          <w:tcPr>
            <w:tcW w:w="1588" w:type="dxa"/>
            <w:tcBorders>
              <w:top w:val="single" w:sz="4" w:space="0" w:color="auto"/>
              <w:left w:val="single" w:sz="4" w:space="0" w:color="auto"/>
              <w:bottom w:val="single" w:sz="4" w:space="0" w:color="auto"/>
              <w:right w:val="single" w:sz="4" w:space="0" w:color="auto"/>
            </w:tcBorders>
            <w:vAlign w:val="center"/>
          </w:tcPr>
          <w:p w14:paraId="60F4B48F" w14:textId="619B7ED9" w:rsidR="005A7AEB" w:rsidRPr="009C2361" w:rsidRDefault="005A7AEB" w:rsidP="005A7AEB">
            <w:pPr>
              <w:snapToGrid w:val="0"/>
              <w:jc w:val="center"/>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12</w:t>
            </w:r>
          </w:p>
        </w:tc>
      </w:tr>
      <w:tr w:rsidR="005A7AEB" w:rsidRPr="009C2361" w14:paraId="54486B93" w14:textId="77777777" w:rsidTr="00F8785C">
        <w:trPr>
          <w:trHeight w:val="319"/>
        </w:trPr>
        <w:tc>
          <w:tcPr>
            <w:tcW w:w="709" w:type="dxa"/>
            <w:tcBorders>
              <w:top w:val="single" w:sz="4" w:space="0" w:color="auto"/>
              <w:left w:val="single" w:sz="4" w:space="0" w:color="auto"/>
              <w:bottom w:val="single" w:sz="4" w:space="0" w:color="auto"/>
              <w:right w:val="single" w:sz="4" w:space="0" w:color="auto"/>
            </w:tcBorders>
            <w:vAlign w:val="center"/>
          </w:tcPr>
          <w:p w14:paraId="21EEF8E7" w14:textId="255E2606" w:rsidR="005A7AEB" w:rsidRPr="009C2361" w:rsidRDefault="005A7AEB" w:rsidP="005A7AEB">
            <w:pPr>
              <w:snapToGrid w:val="0"/>
              <w:jc w:val="center"/>
              <w:rPr>
                <w:rFonts w:asciiTheme="minorEastAsia" w:eastAsiaTheme="minorEastAsia" w:hAnsiTheme="minorEastAsia"/>
                <w:sz w:val="24"/>
                <w:szCs w:val="24"/>
              </w:rPr>
            </w:pPr>
            <w:r w:rsidRPr="009C2361">
              <w:rPr>
                <w:rFonts w:asciiTheme="minorEastAsia" w:eastAsiaTheme="minorEastAsia" w:hAnsiTheme="minorEastAsia"/>
                <w:color w:val="000000"/>
                <w:sz w:val="24"/>
                <w:szCs w:val="24"/>
              </w:rPr>
              <w:t>6</w:t>
            </w:r>
          </w:p>
        </w:tc>
        <w:tc>
          <w:tcPr>
            <w:tcW w:w="2239" w:type="dxa"/>
            <w:tcBorders>
              <w:top w:val="single" w:sz="4" w:space="0" w:color="auto"/>
              <w:left w:val="single" w:sz="4" w:space="0" w:color="auto"/>
              <w:bottom w:val="single" w:sz="4" w:space="0" w:color="auto"/>
              <w:right w:val="single" w:sz="4" w:space="0" w:color="auto"/>
            </w:tcBorders>
            <w:vAlign w:val="center"/>
          </w:tcPr>
          <w:p w14:paraId="67CF76E1" w14:textId="27E569D5" w:rsidR="005A7AEB" w:rsidRPr="009C2361" w:rsidRDefault="005A7AEB" w:rsidP="005A7AEB">
            <w:pPr>
              <w:jc w:val="center"/>
              <w:rPr>
                <w:rFonts w:asciiTheme="minorEastAsia" w:eastAsiaTheme="minorEastAsia" w:hAnsiTheme="minorEastAsia" w:cs="宋体"/>
                <w:color w:val="000000"/>
                <w:sz w:val="24"/>
                <w:szCs w:val="24"/>
              </w:rPr>
            </w:pPr>
            <w:r w:rsidRPr="009C2361">
              <w:rPr>
                <w:rFonts w:asciiTheme="minorEastAsia" w:eastAsiaTheme="minorEastAsia" w:hAnsiTheme="minorEastAsia" w:hint="eastAsia"/>
                <w:color w:val="000000"/>
                <w:sz w:val="24"/>
                <w:szCs w:val="24"/>
              </w:rPr>
              <w:t>中国中金财富证券有限公司</w:t>
            </w:r>
          </w:p>
        </w:tc>
        <w:tc>
          <w:tcPr>
            <w:tcW w:w="2552" w:type="dxa"/>
            <w:tcBorders>
              <w:top w:val="single" w:sz="4" w:space="0" w:color="auto"/>
              <w:left w:val="single" w:sz="4" w:space="0" w:color="auto"/>
              <w:bottom w:val="single" w:sz="4" w:space="0" w:color="auto"/>
              <w:right w:val="single" w:sz="4" w:space="0" w:color="auto"/>
            </w:tcBorders>
            <w:vAlign w:val="center"/>
          </w:tcPr>
          <w:p w14:paraId="1D108216" w14:textId="2719C5F4" w:rsidR="005A7AEB" w:rsidRPr="009C2361" w:rsidRDefault="005A7AEB" w:rsidP="005A7AEB">
            <w:pPr>
              <w:jc w:val="center"/>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 xml:space="preserve">    2,500,000.00 </w:t>
            </w:r>
          </w:p>
        </w:tc>
        <w:tc>
          <w:tcPr>
            <w:tcW w:w="2268" w:type="dxa"/>
            <w:tcBorders>
              <w:top w:val="single" w:sz="4" w:space="0" w:color="auto"/>
              <w:left w:val="single" w:sz="4" w:space="0" w:color="auto"/>
              <w:bottom w:val="single" w:sz="4" w:space="0" w:color="auto"/>
              <w:right w:val="single" w:sz="4" w:space="0" w:color="auto"/>
            </w:tcBorders>
          </w:tcPr>
          <w:p w14:paraId="1D5B527F" w14:textId="22CBF69D" w:rsidR="005A7AEB" w:rsidRPr="009C2361" w:rsidRDefault="005A7AEB" w:rsidP="005A7AEB">
            <w:pPr>
              <w:snapToGrid w:val="0"/>
              <w:rPr>
                <w:rFonts w:asciiTheme="minorEastAsia" w:eastAsiaTheme="minorEastAsia" w:hAnsiTheme="minorEastAsia"/>
                <w:sz w:val="24"/>
                <w:szCs w:val="24"/>
              </w:rPr>
            </w:pPr>
            <w:r w:rsidRPr="009C2361">
              <w:rPr>
                <w:rFonts w:asciiTheme="minorEastAsia" w:eastAsiaTheme="minorEastAsia" w:hAnsiTheme="minorEastAsia" w:hint="eastAsia"/>
                <w:color w:val="000000"/>
                <w:sz w:val="24"/>
                <w:szCs w:val="24"/>
              </w:rPr>
              <w:t>其他专业机构投资者战略配售限售</w:t>
            </w:r>
          </w:p>
        </w:tc>
        <w:tc>
          <w:tcPr>
            <w:tcW w:w="1588" w:type="dxa"/>
            <w:tcBorders>
              <w:top w:val="single" w:sz="4" w:space="0" w:color="auto"/>
              <w:left w:val="single" w:sz="4" w:space="0" w:color="auto"/>
              <w:bottom w:val="single" w:sz="4" w:space="0" w:color="auto"/>
              <w:right w:val="single" w:sz="4" w:space="0" w:color="auto"/>
            </w:tcBorders>
            <w:vAlign w:val="center"/>
          </w:tcPr>
          <w:p w14:paraId="53789712" w14:textId="05C097C4" w:rsidR="005A7AEB" w:rsidRPr="009C2361" w:rsidRDefault="005A7AEB" w:rsidP="005A7AEB">
            <w:pPr>
              <w:snapToGrid w:val="0"/>
              <w:jc w:val="center"/>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12</w:t>
            </w:r>
          </w:p>
        </w:tc>
      </w:tr>
      <w:tr w:rsidR="005A7AEB" w:rsidRPr="009C2361" w14:paraId="776E96EF" w14:textId="77777777" w:rsidTr="00F8785C">
        <w:trPr>
          <w:trHeight w:val="319"/>
        </w:trPr>
        <w:tc>
          <w:tcPr>
            <w:tcW w:w="709" w:type="dxa"/>
            <w:tcBorders>
              <w:top w:val="single" w:sz="4" w:space="0" w:color="auto"/>
              <w:left w:val="single" w:sz="4" w:space="0" w:color="auto"/>
              <w:bottom w:val="single" w:sz="4" w:space="0" w:color="auto"/>
              <w:right w:val="single" w:sz="4" w:space="0" w:color="auto"/>
            </w:tcBorders>
            <w:vAlign w:val="center"/>
          </w:tcPr>
          <w:p w14:paraId="2C1F4992" w14:textId="488AEC8E" w:rsidR="005A7AEB" w:rsidRPr="009C2361" w:rsidRDefault="005A7AEB" w:rsidP="005A7AEB">
            <w:pPr>
              <w:snapToGrid w:val="0"/>
              <w:jc w:val="center"/>
              <w:rPr>
                <w:rFonts w:asciiTheme="minorEastAsia" w:eastAsiaTheme="minorEastAsia" w:hAnsiTheme="minorEastAsia"/>
                <w:sz w:val="24"/>
                <w:szCs w:val="24"/>
              </w:rPr>
            </w:pPr>
            <w:r w:rsidRPr="009C2361">
              <w:rPr>
                <w:rFonts w:asciiTheme="minorEastAsia" w:eastAsiaTheme="minorEastAsia" w:hAnsiTheme="minorEastAsia"/>
                <w:color w:val="000000"/>
                <w:sz w:val="24"/>
                <w:szCs w:val="24"/>
              </w:rPr>
              <w:t>7</w:t>
            </w:r>
          </w:p>
        </w:tc>
        <w:tc>
          <w:tcPr>
            <w:tcW w:w="2239" w:type="dxa"/>
            <w:tcBorders>
              <w:top w:val="single" w:sz="4" w:space="0" w:color="auto"/>
              <w:left w:val="single" w:sz="4" w:space="0" w:color="auto"/>
              <w:bottom w:val="single" w:sz="4" w:space="0" w:color="auto"/>
              <w:right w:val="single" w:sz="4" w:space="0" w:color="auto"/>
            </w:tcBorders>
            <w:vAlign w:val="center"/>
          </w:tcPr>
          <w:p w14:paraId="4756426D" w14:textId="14A1DFD3" w:rsidR="005A7AEB" w:rsidRPr="009C2361" w:rsidRDefault="005A7AEB" w:rsidP="005A7AEB">
            <w:pPr>
              <w:jc w:val="center"/>
              <w:rPr>
                <w:rFonts w:asciiTheme="minorEastAsia" w:eastAsiaTheme="minorEastAsia" w:hAnsiTheme="minorEastAsia" w:cs="宋体"/>
                <w:color w:val="000000"/>
                <w:sz w:val="24"/>
                <w:szCs w:val="24"/>
              </w:rPr>
            </w:pPr>
            <w:r w:rsidRPr="009C2361">
              <w:rPr>
                <w:rFonts w:asciiTheme="minorEastAsia" w:eastAsiaTheme="minorEastAsia" w:hAnsiTheme="minorEastAsia" w:hint="eastAsia"/>
                <w:color w:val="000000"/>
                <w:sz w:val="24"/>
                <w:szCs w:val="24"/>
              </w:rPr>
              <w:t>招商财富资管－招商银行－招商财富</w:t>
            </w:r>
            <w:r w:rsidRPr="009C2361">
              <w:rPr>
                <w:rFonts w:asciiTheme="minorEastAsia" w:eastAsiaTheme="minorEastAsia" w:hAnsiTheme="minorEastAsia" w:hint="eastAsia"/>
                <w:color w:val="000000"/>
                <w:sz w:val="24"/>
                <w:szCs w:val="24"/>
              </w:rPr>
              <w:lastRenderedPageBreak/>
              <w:t>－招银基础设施1号集合资产管理计划</w:t>
            </w:r>
          </w:p>
        </w:tc>
        <w:tc>
          <w:tcPr>
            <w:tcW w:w="2552" w:type="dxa"/>
            <w:tcBorders>
              <w:top w:val="single" w:sz="4" w:space="0" w:color="auto"/>
              <w:left w:val="single" w:sz="4" w:space="0" w:color="auto"/>
              <w:bottom w:val="single" w:sz="4" w:space="0" w:color="auto"/>
              <w:right w:val="single" w:sz="4" w:space="0" w:color="auto"/>
            </w:tcBorders>
            <w:vAlign w:val="center"/>
          </w:tcPr>
          <w:p w14:paraId="533F2803" w14:textId="21146C22" w:rsidR="005A7AEB" w:rsidRPr="009C2361" w:rsidRDefault="005A7AEB" w:rsidP="005A7AEB">
            <w:pPr>
              <w:jc w:val="center"/>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lastRenderedPageBreak/>
              <w:t xml:space="preserve">    2,500,000.00 </w:t>
            </w:r>
          </w:p>
        </w:tc>
        <w:tc>
          <w:tcPr>
            <w:tcW w:w="2268" w:type="dxa"/>
            <w:tcBorders>
              <w:top w:val="single" w:sz="4" w:space="0" w:color="auto"/>
              <w:left w:val="single" w:sz="4" w:space="0" w:color="auto"/>
              <w:bottom w:val="single" w:sz="4" w:space="0" w:color="auto"/>
              <w:right w:val="single" w:sz="4" w:space="0" w:color="auto"/>
            </w:tcBorders>
          </w:tcPr>
          <w:p w14:paraId="38EEE1D1" w14:textId="27851CF5" w:rsidR="005A7AEB" w:rsidRPr="009C2361" w:rsidRDefault="005A7AEB" w:rsidP="005A7AEB">
            <w:pPr>
              <w:snapToGrid w:val="0"/>
              <w:rPr>
                <w:rFonts w:asciiTheme="minorEastAsia" w:eastAsiaTheme="minorEastAsia" w:hAnsiTheme="minorEastAsia"/>
                <w:sz w:val="24"/>
                <w:szCs w:val="24"/>
              </w:rPr>
            </w:pPr>
            <w:r w:rsidRPr="009C2361">
              <w:rPr>
                <w:rFonts w:asciiTheme="minorEastAsia" w:eastAsiaTheme="minorEastAsia" w:hAnsiTheme="minorEastAsia" w:hint="eastAsia"/>
                <w:color w:val="000000"/>
                <w:sz w:val="24"/>
                <w:szCs w:val="24"/>
              </w:rPr>
              <w:t>其他专业机构投资者战略配售限售</w:t>
            </w:r>
          </w:p>
        </w:tc>
        <w:tc>
          <w:tcPr>
            <w:tcW w:w="1588" w:type="dxa"/>
            <w:tcBorders>
              <w:top w:val="single" w:sz="4" w:space="0" w:color="auto"/>
              <w:left w:val="single" w:sz="4" w:space="0" w:color="auto"/>
              <w:bottom w:val="single" w:sz="4" w:space="0" w:color="auto"/>
              <w:right w:val="single" w:sz="4" w:space="0" w:color="auto"/>
            </w:tcBorders>
            <w:vAlign w:val="center"/>
          </w:tcPr>
          <w:p w14:paraId="3F59E9E4" w14:textId="38B4BD38" w:rsidR="005A7AEB" w:rsidRPr="009C2361" w:rsidRDefault="005A7AEB" w:rsidP="005A7AEB">
            <w:pPr>
              <w:snapToGrid w:val="0"/>
              <w:jc w:val="center"/>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12</w:t>
            </w:r>
          </w:p>
        </w:tc>
      </w:tr>
    </w:tbl>
    <w:p w14:paraId="4C538A0E" w14:textId="77777777" w:rsidR="008669EF" w:rsidRPr="009C2361" w:rsidRDefault="008669EF" w:rsidP="008669EF">
      <w:pPr>
        <w:pStyle w:val="a3"/>
        <w:snapToGrid w:val="0"/>
        <w:spacing w:before="0" w:beforeAutospacing="0" w:after="0" w:afterAutospacing="0" w:line="240" w:lineRule="auto"/>
        <w:ind w:firstLine="480"/>
        <w:jc w:val="both"/>
        <w:rPr>
          <w:rFonts w:asciiTheme="minorEastAsia" w:eastAsiaTheme="minorEastAsia" w:hAnsiTheme="minorEastAsia" w:cs="Times New Roman"/>
        </w:rPr>
      </w:pPr>
      <w:r w:rsidRPr="009C2361">
        <w:rPr>
          <w:rFonts w:asciiTheme="minorEastAsia" w:eastAsiaTheme="minorEastAsia" w:hAnsiTheme="minorEastAsia" w:cs="Times New Roman" w:hint="eastAsia"/>
        </w:rPr>
        <w:lastRenderedPageBreak/>
        <w:t>注：上述限售份额自2022年6月21日起满足解除限售条件。</w:t>
      </w:r>
    </w:p>
    <w:p w14:paraId="043ABACF" w14:textId="77777777" w:rsidR="00F8785C" w:rsidRPr="009C2361" w:rsidRDefault="00F8785C" w:rsidP="008669EF">
      <w:pPr>
        <w:pStyle w:val="a3"/>
        <w:snapToGrid w:val="0"/>
        <w:spacing w:before="0" w:beforeAutospacing="0" w:after="0" w:afterAutospacing="0" w:line="240" w:lineRule="auto"/>
        <w:ind w:firstLine="480"/>
        <w:jc w:val="both"/>
        <w:rPr>
          <w:rFonts w:asciiTheme="minorEastAsia" w:eastAsiaTheme="minorEastAsia" w:hAnsiTheme="minorEastAsia" w:cs="Times New Roman"/>
        </w:rPr>
      </w:pPr>
    </w:p>
    <w:p w14:paraId="6CEC62D3" w14:textId="22134AC1" w:rsidR="000739E1" w:rsidRPr="009C2361" w:rsidRDefault="008669EF" w:rsidP="00F8785C">
      <w:pPr>
        <w:widowControl/>
        <w:snapToGrid w:val="0"/>
        <w:spacing w:line="360" w:lineRule="auto"/>
        <w:ind w:firstLineChars="200" w:firstLine="482"/>
        <w:rPr>
          <w:rFonts w:asciiTheme="minorEastAsia" w:eastAsiaTheme="minorEastAsia" w:hAnsiTheme="minorEastAsia"/>
          <w:b/>
          <w:color w:val="000000"/>
          <w:sz w:val="24"/>
          <w:szCs w:val="24"/>
        </w:rPr>
      </w:pPr>
      <w:r w:rsidRPr="009C2361">
        <w:rPr>
          <w:rFonts w:asciiTheme="minorEastAsia" w:eastAsiaTheme="minorEastAsia" w:hAnsiTheme="minorEastAsia" w:hint="eastAsia"/>
          <w:b/>
          <w:color w:val="000000"/>
          <w:sz w:val="24"/>
          <w:szCs w:val="24"/>
        </w:rPr>
        <w:t>2</w:t>
      </w:r>
      <w:r w:rsidRPr="009C2361">
        <w:rPr>
          <w:rFonts w:asciiTheme="minorEastAsia" w:eastAsiaTheme="minorEastAsia" w:hAnsiTheme="minorEastAsia"/>
          <w:b/>
          <w:color w:val="000000"/>
          <w:sz w:val="24"/>
          <w:szCs w:val="24"/>
        </w:rPr>
        <w:t>.</w:t>
      </w:r>
      <w:r w:rsidR="000739E1" w:rsidRPr="009C2361">
        <w:rPr>
          <w:rFonts w:asciiTheme="minorEastAsia" w:eastAsiaTheme="minorEastAsia" w:hAnsiTheme="minorEastAsia" w:hint="eastAsia"/>
          <w:b/>
          <w:color w:val="000000"/>
          <w:sz w:val="24"/>
          <w:szCs w:val="24"/>
        </w:rPr>
        <w:t>本次解除限售后剩余的限售份额情况：</w:t>
      </w:r>
    </w:p>
    <w:tbl>
      <w:tblPr>
        <w:tblW w:w="56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162"/>
        <w:gridCol w:w="2484"/>
        <w:gridCol w:w="2209"/>
        <w:gridCol w:w="1794"/>
      </w:tblGrid>
      <w:tr w:rsidR="000739E1" w:rsidRPr="009C2361" w14:paraId="4E0C88EE" w14:textId="77777777" w:rsidTr="00F8785C">
        <w:trPr>
          <w:trHeight w:val="268"/>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2EC82D7" w14:textId="77777777" w:rsidR="000739E1" w:rsidRPr="009C2361" w:rsidRDefault="000739E1" w:rsidP="00055197">
            <w:pPr>
              <w:snapToGrid w:val="0"/>
              <w:rPr>
                <w:rFonts w:asciiTheme="minorEastAsia" w:eastAsiaTheme="minorEastAsia" w:hAnsiTheme="minorEastAsia"/>
                <w:b/>
                <w:sz w:val="24"/>
                <w:szCs w:val="24"/>
              </w:rPr>
            </w:pPr>
            <w:r w:rsidRPr="009C2361">
              <w:rPr>
                <w:rFonts w:asciiTheme="minorEastAsia" w:eastAsiaTheme="minorEastAsia" w:hAnsiTheme="minorEastAsia" w:hint="eastAsia"/>
                <w:b/>
                <w:sz w:val="24"/>
                <w:szCs w:val="24"/>
              </w:rPr>
              <w:t>序号</w:t>
            </w:r>
          </w:p>
        </w:tc>
        <w:tc>
          <w:tcPr>
            <w:tcW w:w="11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6474A1" w14:textId="77777777" w:rsidR="000739E1" w:rsidRPr="009C2361" w:rsidRDefault="000739E1" w:rsidP="00055197">
            <w:pPr>
              <w:snapToGrid w:val="0"/>
              <w:jc w:val="center"/>
              <w:rPr>
                <w:rFonts w:asciiTheme="minorEastAsia" w:eastAsiaTheme="minorEastAsia" w:hAnsiTheme="minorEastAsia"/>
                <w:b/>
                <w:sz w:val="24"/>
                <w:szCs w:val="24"/>
              </w:rPr>
            </w:pPr>
            <w:r w:rsidRPr="009C2361">
              <w:rPr>
                <w:rFonts w:asciiTheme="minorEastAsia" w:eastAsiaTheme="minorEastAsia" w:hAnsiTheme="minorEastAsia" w:hint="eastAsia"/>
                <w:b/>
                <w:sz w:val="24"/>
                <w:szCs w:val="24"/>
              </w:rPr>
              <w:t>证券账户名称</w:t>
            </w:r>
          </w:p>
        </w:tc>
        <w:tc>
          <w:tcPr>
            <w:tcW w:w="13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DB2E84" w14:textId="1FB5DEFE" w:rsidR="000739E1" w:rsidRPr="009C2361" w:rsidRDefault="009B2F12" w:rsidP="00055197">
            <w:pPr>
              <w:snapToGrid w:val="0"/>
              <w:jc w:val="center"/>
              <w:rPr>
                <w:rFonts w:asciiTheme="minorEastAsia" w:eastAsiaTheme="minorEastAsia" w:hAnsiTheme="minorEastAsia"/>
                <w:b/>
                <w:sz w:val="24"/>
                <w:szCs w:val="24"/>
              </w:rPr>
            </w:pPr>
            <w:r w:rsidRPr="009C2361">
              <w:rPr>
                <w:rFonts w:asciiTheme="minorEastAsia" w:eastAsiaTheme="minorEastAsia" w:hAnsiTheme="minorEastAsia" w:hint="eastAsia"/>
                <w:b/>
                <w:sz w:val="24"/>
                <w:szCs w:val="24"/>
              </w:rPr>
              <w:t>限售份额</w:t>
            </w:r>
            <w:r w:rsidR="000739E1" w:rsidRPr="009C2361">
              <w:rPr>
                <w:rFonts w:asciiTheme="minorEastAsia" w:eastAsiaTheme="minorEastAsia" w:hAnsiTheme="minorEastAsia" w:hint="eastAsia"/>
                <w:b/>
                <w:sz w:val="24"/>
                <w:szCs w:val="24"/>
              </w:rPr>
              <w:t>（份）</w:t>
            </w:r>
          </w:p>
        </w:tc>
        <w:tc>
          <w:tcPr>
            <w:tcW w:w="11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943255" w14:textId="77777777" w:rsidR="000739E1" w:rsidRPr="009C2361" w:rsidRDefault="000739E1" w:rsidP="00055197">
            <w:pPr>
              <w:snapToGrid w:val="0"/>
              <w:jc w:val="center"/>
              <w:rPr>
                <w:rFonts w:asciiTheme="minorEastAsia" w:eastAsiaTheme="minorEastAsia" w:hAnsiTheme="minorEastAsia"/>
                <w:b/>
                <w:sz w:val="24"/>
                <w:szCs w:val="24"/>
              </w:rPr>
            </w:pPr>
            <w:r w:rsidRPr="009C2361">
              <w:rPr>
                <w:rFonts w:asciiTheme="minorEastAsia" w:eastAsiaTheme="minorEastAsia" w:hAnsiTheme="minorEastAsia" w:hint="eastAsia"/>
                <w:b/>
                <w:sz w:val="24"/>
                <w:szCs w:val="24"/>
              </w:rPr>
              <w:t>限售类型</w:t>
            </w:r>
          </w:p>
        </w:tc>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F4DD5F" w14:textId="77777777" w:rsidR="00983FD5" w:rsidRPr="009C2361" w:rsidRDefault="000739E1" w:rsidP="00444095">
            <w:pPr>
              <w:snapToGrid w:val="0"/>
              <w:jc w:val="center"/>
              <w:rPr>
                <w:rFonts w:asciiTheme="minorEastAsia" w:eastAsiaTheme="minorEastAsia" w:hAnsiTheme="minorEastAsia"/>
                <w:b/>
                <w:sz w:val="24"/>
                <w:szCs w:val="24"/>
              </w:rPr>
            </w:pPr>
            <w:r w:rsidRPr="009C2361">
              <w:rPr>
                <w:rFonts w:asciiTheme="minorEastAsia" w:eastAsiaTheme="minorEastAsia" w:hAnsiTheme="minorEastAsia" w:hint="eastAsia"/>
                <w:b/>
                <w:sz w:val="24"/>
                <w:szCs w:val="24"/>
              </w:rPr>
              <w:t>限售期</w:t>
            </w:r>
          </w:p>
          <w:p w14:paraId="4D5B9915" w14:textId="58DD8FD4" w:rsidR="000739E1" w:rsidRPr="009C2361" w:rsidRDefault="000739E1" w:rsidP="00444095">
            <w:pPr>
              <w:snapToGrid w:val="0"/>
              <w:jc w:val="center"/>
              <w:rPr>
                <w:rFonts w:asciiTheme="minorEastAsia" w:eastAsiaTheme="minorEastAsia" w:hAnsiTheme="minorEastAsia"/>
                <w:b/>
                <w:sz w:val="24"/>
                <w:szCs w:val="24"/>
              </w:rPr>
            </w:pPr>
            <w:r w:rsidRPr="009C2361">
              <w:rPr>
                <w:rFonts w:asciiTheme="minorEastAsia" w:eastAsiaTheme="minorEastAsia" w:hAnsiTheme="minorEastAsia" w:hint="eastAsia"/>
                <w:b/>
                <w:sz w:val="24"/>
                <w:szCs w:val="24"/>
              </w:rPr>
              <w:t>（月）</w:t>
            </w:r>
          </w:p>
        </w:tc>
      </w:tr>
      <w:tr w:rsidR="005A7AEB" w:rsidRPr="009C2361" w14:paraId="09067C45" w14:textId="77777777" w:rsidTr="00F8785C">
        <w:trPr>
          <w:trHeight w:val="331"/>
        </w:trPr>
        <w:tc>
          <w:tcPr>
            <w:tcW w:w="376" w:type="pct"/>
            <w:tcBorders>
              <w:top w:val="single" w:sz="4" w:space="0" w:color="auto"/>
              <w:left w:val="single" w:sz="4" w:space="0" w:color="auto"/>
              <w:bottom w:val="single" w:sz="4" w:space="0" w:color="auto"/>
              <w:right w:val="single" w:sz="4" w:space="0" w:color="auto"/>
            </w:tcBorders>
            <w:vAlign w:val="center"/>
          </w:tcPr>
          <w:p w14:paraId="0D1C3E2C" w14:textId="79FBEA79" w:rsidR="005A7AEB" w:rsidRPr="009C2361" w:rsidRDefault="005A7AEB" w:rsidP="005A7AEB">
            <w:pPr>
              <w:snapToGrid w:val="0"/>
              <w:rPr>
                <w:rFonts w:asciiTheme="minorEastAsia" w:eastAsiaTheme="minorEastAsia" w:hAnsiTheme="minorEastAsia"/>
                <w:sz w:val="24"/>
                <w:szCs w:val="24"/>
              </w:rPr>
            </w:pPr>
            <w:r w:rsidRPr="009C2361">
              <w:rPr>
                <w:rFonts w:asciiTheme="minorEastAsia" w:eastAsiaTheme="minorEastAsia" w:hAnsiTheme="minorEastAsia" w:hint="eastAsia"/>
                <w:color w:val="000000"/>
                <w:sz w:val="24"/>
                <w:szCs w:val="24"/>
              </w:rPr>
              <w:t>1</w:t>
            </w:r>
          </w:p>
        </w:tc>
        <w:tc>
          <w:tcPr>
            <w:tcW w:w="1156" w:type="pct"/>
            <w:tcBorders>
              <w:top w:val="single" w:sz="4" w:space="0" w:color="auto"/>
              <w:left w:val="single" w:sz="4" w:space="0" w:color="auto"/>
              <w:bottom w:val="single" w:sz="4" w:space="0" w:color="auto"/>
              <w:right w:val="single" w:sz="4" w:space="0" w:color="auto"/>
            </w:tcBorders>
            <w:vAlign w:val="center"/>
          </w:tcPr>
          <w:p w14:paraId="0F89C6C0" w14:textId="505F26DB" w:rsidR="005A7AEB" w:rsidRPr="009C2361" w:rsidRDefault="005A7AEB" w:rsidP="005A7AEB">
            <w:pPr>
              <w:snapToGrid w:val="0"/>
              <w:rPr>
                <w:rFonts w:asciiTheme="minorEastAsia" w:eastAsiaTheme="minorEastAsia" w:hAnsiTheme="minorEastAsia"/>
                <w:sz w:val="24"/>
                <w:szCs w:val="24"/>
              </w:rPr>
            </w:pPr>
            <w:r w:rsidRPr="009C2361">
              <w:rPr>
                <w:rFonts w:asciiTheme="minorEastAsia" w:eastAsiaTheme="minorEastAsia" w:hAnsiTheme="minorEastAsia" w:hint="eastAsia"/>
                <w:color w:val="000000"/>
                <w:sz w:val="24"/>
                <w:szCs w:val="24"/>
              </w:rPr>
              <w:t>北京首创生态环保集团股份有限公司</w:t>
            </w:r>
          </w:p>
        </w:tc>
        <w:tc>
          <w:tcPr>
            <w:tcW w:w="1328" w:type="pct"/>
            <w:tcBorders>
              <w:top w:val="single" w:sz="4" w:space="0" w:color="auto"/>
              <w:left w:val="single" w:sz="4" w:space="0" w:color="auto"/>
              <w:bottom w:val="single" w:sz="4" w:space="0" w:color="auto"/>
              <w:right w:val="single" w:sz="4" w:space="0" w:color="auto"/>
            </w:tcBorders>
            <w:vAlign w:val="center"/>
          </w:tcPr>
          <w:p w14:paraId="339A6009" w14:textId="6D6285FC" w:rsidR="005A7AEB" w:rsidRPr="009C2361" w:rsidRDefault="005A7AEB" w:rsidP="005A7AEB">
            <w:pPr>
              <w:snapToGrid w:val="0"/>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 xml:space="preserve">  255,000,000.00 </w:t>
            </w:r>
          </w:p>
        </w:tc>
        <w:tc>
          <w:tcPr>
            <w:tcW w:w="1181" w:type="pct"/>
            <w:tcBorders>
              <w:top w:val="single" w:sz="4" w:space="0" w:color="auto"/>
              <w:left w:val="single" w:sz="4" w:space="0" w:color="auto"/>
              <w:bottom w:val="single" w:sz="4" w:space="0" w:color="auto"/>
              <w:right w:val="single" w:sz="4" w:space="0" w:color="auto"/>
            </w:tcBorders>
            <w:vAlign w:val="center"/>
          </w:tcPr>
          <w:p w14:paraId="4462FA28" w14:textId="77BAF9FF" w:rsidR="005A7AEB" w:rsidRPr="009C2361" w:rsidRDefault="005A7AEB" w:rsidP="005A7AEB">
            <w:pPr>
              <w:snapToGrid w:val="0"/>
              <w:rPr>
                <w:rFonts w:asciiTheme="minorEastAsia" w:eastAsiaTheme="minorEastAsia" w:hAnsiTheme="minorEastAsia"/>
                <w:sz w:val="24"/>
                <w:szCs w:val="24"/>
              </w:rPr>
            </w:pPr>
            <w:r w:rsidRPr="009C2361">
              <w:rPr>
                <w:rFonts w:asciiTheme="minorEastAsia" w:eastAsiaTheme="minorEastAsia" w:hAnsiTheme="minorEastAsia" w:hint="eastAsia"/>
                <w:color w:val="000000"/>
                <w:sz w:val="24"/>
                <w:szCs w:val="24"/>
              </w:rPr>
              <w:t>原始权益人及其同一控制下关联方战略配售限售</w:t>
            </w:r>
          </w:p>
        </w:tc>
        <w:tc>
          <w:tcPr>
            <w:tcW w:w="959" w:type="pct"/>
            <w:tcBorders>
              <w:top w:val="single" w:sz="4" w:space="0" w:color="auto"/>
              <w:left w:val="single" w:sz="4" w:space="0" w:color="auto"/>
              <w:bottom w:val="single" w:sz="4" w:space="0" w:color="auto"/>
              <w:right w:val="single" w:sz="4" w:space="0" w:color="auto"/>
            </w:tcBorders>
            <w:vAlign w:val="center"/>
          </w:tcPr>
          <w:p w14:paraId="2423B5E9" w14:textId="5B15A9BD" w:rsidR="005A7AEB" w:rsidRPr="009C2361" w:rsidRDefault="005A7AEB" w:rsidP="005A7AEB">
            <w:pPr>
              <w:snapToGrid w:val="0"/>
              <w:jc w:val="center"/>
              <w:rPr>
                <w:rFonts w:asciiTheme="minorEastAsia" w:eastAsiaTheme="minorEastAsia" w:hAnsiTheme="minorEastAsia"/>
                <w:sz w:val="24"/>
                <w:szCs w:val="24"/>
              </w:rPr>
            </w:pPr>
            <w:r w:rsidRPr="009C2361">
              <w:rPr>
                <w:rFonts w:asciiTheme="minorEastAsia" w:eastAsiaTheme="minorEastAsia" w:hAnsiTheme="minorEastAsia" w:hint="eastAsia"/>
                <w:color w:val="000000"/>
                <w:sz w:val="24"/>
                <w:szCs w:val="24"/>
              </w:rPr>
              <w:t>与深圳基础设施项目和合肥基础设施项目的特许经营权期限相同（以届时存续的前述基础设施项目的特许经营权到期日孰晚为准）</w:t>
            </w:r>
          </w:p>
        </w:tc>
      </w:tr>
    </w:tbl>
    <w:p w14:paraId="029D0EE3" w14:textId="38994AF0" w:rsidR="000739E1" w:rsidRPr="009C2361" w:rsidRDefault="000739E1" w:rsidP="008669EF">
      <w:pPr>
        <w:pStyle w:val="a3"/>
        <w:snapToGrid w:val="0"/>
        <w:spacing w:before="0" w:beforeAutospacing="0" w:after="0" w:afterAutospacing="0" w:line="240" w:lineRule="auto"/>
        <w:ind w:firstLine="480"/>
        <w:jc w:val="both"/>
        <w:rPr>
          <w:rFonts w:asciiTheme="minorEastAsia" w:eastAsiaTheme="minorEastAsia" w:hAnsiTheme="minorEastAsia" w:cs="Times New Roman"/>
        </w:rPr>
      </w:pPr>
    </w:p>
    <w:p w14:paraId="093136EC" w14:textId="4743817D" w:rsidR="00616D31" w:rsidRPr="009C2361" w:rsidRDefault="00616D31" w:rsidP="00F8785C">
      <w:pPr>
        <w:widowControl/>
        <w:snapToGrid w:val="0"/>
        <w:spacing w:line="360" w:lineRule="auto"/>
        <w:ind w:firstLineChars="200" w:firstLine="482"/>
        <w:rPr>
          <w:rFonts w:asciiTheme="minorEastAsia" w:eastAsiaTheme="minorEastAsia" w:hAnsiTheme="minorEastAsia"/>
          <w:b/>
          <w:color w:val="000000"/>
          <w:sz w:val="24"/>
          <w:szCs w:val="24"/>
        </w:rPr>
      </w:pPr>
      <w:r w:rsidRPr="009C2361">
        <w:rPr>
          <w:rFonts w:asciiTheme="minorEastAsia" w:eastAsiaTheme="minorEastAsia" w:hAnsiTheme="minorEastAsia" w:hint="eastAsia"/>
          <w:b/>
          <w:color w:val="000000"/>
          <w:sz w:val="24"/>
          <w:szCs w:val="24"/>
        </w:rPr>
        <w:t>（二）公募REITs场外份额解除限售</w:t>
      </w:r>
    </w:p>
    <w:p w14:paraId="4014A88B" w14:textId="5CC88256" w:rsidR="00616D31" w:rsidRPr="009C2361" w:rsidRDefault="008669EF" w:rsidP="00055197">
      <w:pPr>
        <w:pStyle w:val="a3"/>
        <w:snapToGrid w:val="0"/>
        <w:spacing w:before="0" w:beforeAutospacing="0" w:after="0" w:afterAutospacing="0" w:line="240" w:lineRule="auto"/>
        <w:ind w:firstLine="482"/>
        <w:jc w:val="both"/>
        <w:rPr>
          <w:rFonts w:asciiTheme="minorEastAsia" w:eastAsiaTheme="minorEastAsia" w:hAnsiTheme="minorEastAsia" w:cs="Times New Roman"/>
          <w:b/>
        </w:rPr>
      </w:pPr>
      <w:r w:rsidRPr="009C2361">
        <w:rPr>
          <w:rFonts w:asciiTheme="minorEastAsia" w:eastAsiaTheme="minorEastAsia" w:hAnsiTheme="minorEastAsia" w:cs="Times New Roman" w:hint="eastAsia"/>
          <w:b/>
        </w:rPr>
        <w:t>1</w:t>
      </w:r>
      <w:r w:rsidRPr="009C2361">
        <w:rPr>
          <w:rFonts w:asciiTheme="minorEastAsia" w:eastAsiaTheme="minorEastAsia" w:hAnsiTheme="minorEastAsia" w:cs="Times New Roman"/>
          <w:b/>
        </w:rPr>
        <w:t>.</w:t>
      </w:r>
      <w:r w:rsidR="00616D31" w:rsidRPr="009C2361">
        <w:rPr>
          <w:rFonts w:asciiTheme="minorEastAsia" w:eastAsiaTheme="minorEastAsia" w:hAnsiTheme="minorEastAsia" w:cs="Times New Roman" w:hint="eastAsia"/>
          <w:b/>
        </w:rPr>
        <w:t>本次解除限售的份额情况：</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239"/>
        <w:gridCol w:w="2552"/>
        <w:gridCol w:w="2268"/>
        <w:gridCol w:w="1588"/>
      </w:tblGrid>
      <w:tr w:rsidR="00055197" w:rsidRPr="009C2361" w14:paraId="3E34B1CC" w14:textId="77777777" w:rsidTr="00F8785C">
        <w:trPr>
          <w:trHeight w:val="268"/>
        </w:trPr>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E94448" w14:textId="77777777" w:rsidR="00055197" w:rsidRPr="009C2361" w:rsidRDefault="00055197" w:rsidP="005D123D">
            <w:pPr>
              <w:snapToGrid w:val="0"/>
              <w:jc w:val="center"/>
              <w:rPr>
                <w:rFonts w:asciiTheme="minorEastAsia" w:eastAsiaTheme="minorEastAsia" w:hAnsiTheme="minorEastAsia"/>
                <w:b/>
                <w:sz w:val="24"/>
                <w:szCs w:val="24"/>
              </w:rPr>
            </w:pPr>
            <w:r w:rsidRPr="009C2361">
              <w:rPr>
                <w:rFonts w:asciiTheme="minorEastAsia" w:eastAsiaTheme="minorEastAsia" w:hAnsiTheme="minorEastAsia" w:hint="eastAsia"/>
                <w:b/>
                <w:sz w:val="24"/>
                <w:szCs w:val="24"/>
              </w:rPr>
              <w:t>序号</w:t>
            </w:r>
          </w:p>
        </w:tc>
        <w:tc>
          <w:tcPr>
            <w:tcW w:w="2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ED49EA" w14:textId="77777777" w:rsidR="00055197" w:rsidRPr="009C2361" w:rsidRDefault="00055197" w:rsidP="005D123D">
            <w:pPr>
              <w:snapToGrid w:val="0"/>
              <w:jc w:val="center"/>
              <w:rPr>
                <w:rFonts w:asciiTheme="minorEastAsia" w:eastAsiaTheme="minorEastAsia" w:hAnsiTheme="minorEastAsia"/>
                <w:b/>
                <w:sz w:val="24"/>
                <w:szCs w:val="24"/>
              </w:rPr>
            </w:pPr>
            <w:r w:rsidRPr="009C2361">
              <w:rPr>
                <w:rFonts w:asciiTheme="minorEastAsia" w:eastAsiaTheme="minorEastAsia" w:hAnsiTheme="minorEastAsia" w:hint="eastAsia"/>
                <w:b/>
                <w:sz w:val="24"/>
                <w:szCs w:val="24"/>
              </w:rPr>
              <w:t>证券账户名称</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393BA0" w14:textId="77777777" w:rsidR="00055197" w:rsidRPr="009C2361" w:rsidRDefault="00055197" w:rsidP="005D123D">
            <w:pPr>
              <w:snapToGrid w:val="0"/>
              <w:jc w:val="center"/>
              <w:rPr>
                <w:rFonts w:asciiTheme="minorEastAsia" w:eastAsiaTheme="minorEastAsia" w:hAnsiTheme="minorEastAsia"/>
                <w:b/>
                <w:sz w:val="24"/>
                <w:szCs w:val="24"/>
              </w:rPr>
            </w:pPr>
            <w:r w:rsidRPr="009C2361">
              <w:rPr>
                <w:rFonts w:asciiTheme="minorEastAsia" w:eastAsiaTheme="minorEastAsia" w:hAnsiTheme="minorEastAsia" w:hint="eastAsia"/>
                <w:b/>
                <w:sz w:val="24"/>
                <w:szCs w:val="24"/>
              </w:rPr>
              <w:t>限售份额（份）</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B123A6" w14:textId="77777777" w:rsidR="00055197" w:rsidRPr="009C2361" w:rsidRDefault="00055197" w:rsidP="005D123D">
            <w:pPr>
              <w:snapToGrid w:val="0"/>
              <w:jc w:val="center"/>
              <w:rPr>
                <w:rFonts w:asciiTheme="minorEastAsia" w:eastAsiaTheme="minorEastAsia" w:hAnsiTheme="minorEastAsia"/>
                <w:b/>
                <w:sz w:val="24"/>
                <w:szCs w:val="24"/>
              </w:rPr>
            </w:pPr>
            <w:r w:rsidRPr="009C2361">
              <w:rPr>
                <w:rFonts w:asciiTheme="minorEastAsia" w:eastAsiaTheme="minorEastAsia" w:hAnsiTheme="minorEastAsia" w:hint="eastAsia"/>
                <w:b/>
                <w:sz w:val="24"/>
                <w:szCs w:val="24"/>
              </w:rPr>
              <w:t>限售类型</w:t>
            </w:r>
          </w:p>
        </w:tc>
        <w:tc>
          <w:tcPr>
            <w:tcW w:w="1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B15C74" w14:textId="77777777" w:rsidR="00055197" w:rsidRPr="009C2361" w:rsidRDefault="00055197" w:rsidP="005D123D">
            <w:pPr>
              <w:snapToGrid w:val="0"/>
              <w:jc w:val="center"/>
              <w:rPr>
                <w:rFonts w:asciiTheme="minorEastAsia" w:eastAsiaTheme="minorEastAsia" w:hAnsiTheme="minorEastAsia"/>
                <w:b/>
                <w:sz w:val="24"/>
                <w:szCs w:val="24"/>
              </w:rPr>
            </w:pPr>
            <w:r w:rsidRPr="009C2361">
              <w:rPr>
                <w:rFonts w:asciiTheme="minorEastAsia" w:eastAsiaTheme="minorEastAsia" w:hAnsiTheme="minorEastAsia" w:hint="eastAsia"/>
                <w:b/>
                <w:sz w:val="24"/>
                <w:szCs w:val="24"/>
              </w:rPr>
              <w:t>限售期（月）</w:t>
            </w:r>
          </w:p>
        </w:tc>
      </w:tr>
      <w:tr w:rsidR="005A7AEB" w:rsidRPr="009C2361" w14:paraId="4C78B3FE" w14:textId="77777777" w:rsidTr="00F8785C">
        <w:trPr>
          <w:trHeight w:val="319"/>
        </w:trPr>
        <w:tc>
          <w:tcPr>
            <w:tcW w:w="709" w:type="dxa"/>
            <w:tcBorders>
              <w:top w:val="single" w:sz="4" w:space="0" w:color="auto"/>
              <w:left w:val="single" w:sz="4" w:space="0" w:color="auto"/>
              <w:bottom w:val="single" w:sz="4" w:space="0" w:color="auto"/>
              <w:right w:val="single" w:sz="4" w:space="0" w:color="auto"/>
            </w:tcBorders>
            <w:vAlign w:val="center"/>
          </w:tcPr>
          <w:p w14:paraId="0695A8EB" w14:textId="14A6BED4" w:rsidR="005A7AEB" w:rsidRPr="009C2361" w:rsidRDefault="005A7AEB" w:rsidP="005A7AEB">
            <w:pPr>
              <w:snapToGrid w:val="0"/>
              <w:jc w:val="center"/>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1</w:t>
            </w:r>
          </w:p>
        </w:tc>
        <w:tc>
          <w:tcPr>
            <w:tcW w:w="2239" w:type="dxa"/>
            <w:tcBorders>
              <w:top w:val="single" w:sz="4" w:space="0" w:color="auto"/>
              <w:left w:val="single" w:sz="4" w:space="0" w:color="auto"/>
              <w:bottom w:val="single" w:sz="4" w:space="0" w:color="auto"/>
              <w:right w:val="single" w:sz="4" w:space="0" w:color="auto"/>
            </w:tcBorders>
            <w:vAlign w:val="center"/>
          </w:tcPr>
          <w:p w14:paraId="367DEFA0" w14:textId="5BF39378" w:rsidR="005A7AEB" w:rsidRPr="009C2361" w:rsidRDefault="005A7AEB" w:rsidP="005A7AEB">
            <w:pPr>
              <w:jc w:val="center"/>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富国基金智享8号FOF集合资产管理计划</w:t>
            </w:r>
          </w:p>
        </w:tc>
        <w:tc>
          <w:tcPr>
            <w:tcW w:w="2552" w:type="dxa"/>
            <w:tcBorders>
              <w:top w:val="single" w:sz="4" w:space="0" w:color="auto"/>
              <w:left w:val="single" w:sz="4" w:space="0" w:color="auto"/>
              <w:bottom w:val="single" w:sz="4" w:space="0" w:color="auto"/>
              <w:right w:val="single" w:sz="4" w:space="0" w:color="auto"/>
            </w:tcBorders>
            <w:vAlign w:val="center"/>
          </w:tcPr>
          <w:p w14:paraId="185EA611" w14:textId="2A6D553C" w:rsidR="005A7AEB" w:rsidRPr="009C2361" w:rsidRDefault="005A7AEB" w:rsidP="005A7AEB">
            <w:pPr>
              <w:jc w:val="center"/>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 xml:space="preserve">   15,000,000.00 </w:t>
            </w:r>
          </w:p>
        </w:tc>
        <w:tc>
          <w:tcPr>
            <w:tcW w:w="2268" w:type="dxa"/>
            <w:tcBorders>
              <w:top w:val="single" w:sz="4" w:space="0" w:color="auto"/>
              <w:left w:val="single" w:sz="4" w:space="0" w:color="auto"/>
              <w:bottom w:val="single" w:sz="4" w:space="0" w:color="auto"/>
              <w:right w:val="single" w:sz="4" w:space="0" w:color="auto"/>
            </w:tcBorders>
          </w:tcPr>
          <w:p w14:paraId="0215A4F5" w14:textId="3F6BB531" w:rsidR="005A7AEB" w:rsidRPr="009C2361" w:rsidRDefault="005A7AEB" w:rsidP="005A7AEB">
            <w:pPr>
              <w:snapToGrid w:val="0"/>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其他专业机构投资者战略配售限售</w:t>
            </w:r>
          </w:p>
        </w:tc>
        <w:tc>
          <w:tcPr>
            <w:tcW w:w="1588" w:type="dxa"/>
            <w:tcBorders>
              <w:top w:val="single" w:sz="4" w:space="0" w:color="auto"/>
              <w:left w:val="single" w:sz="4" w:space="0" w:color="auto"/>
              <w:bottom w:val="single" w:sz="4" w:space="0" w:color="auto"/>
              <w:right w:val="single" w:sz="4" w:space="0" w:color="auto"/>
            </w:tcBorders>
            <w:vAlign w:val="center"/>
          </w:tcPr>
          <w:p w14:paraId="1366091F" w14:textId="2212DCD6" w:rsidR="005A7AEB" w:rsidRPr="009C2361" w:rsidRDefault="005A7AEB" w:rsidP="005A7AEB">
            <w:pPr>
              <w:snapToGrid w:val="0"/>
              <w:jc w:val="center"/>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12</w:t>
            </w:r>
          </w:p>
        </w:tc>
      </w:tr>
      <w:tr w:rsidR="005A7AEB" w:rsidRPr="009C2361" w14:paraId="1BB4C905" w14:textId="77777777" w:rsidTr="00F8785C">
        <w:trPr>
          <w:trHeight w:val="319"/>
        </w:trPr>
        <w:tc>
          <w:tcPr>
            <w:tcW w:w="709" w:type="dxa"/>
            <w:tcBorders>
              <w:top w:val="single" w:sz="4" w:space="0" w:color="auto"/>
              <w:left w:val="single" w:sz="4" w:space="0" w:color="auto"/>
              <w:bottom w:val="single" w:sz="4" w:space="0" w:color="auto"/>
              <w:right w:val="single" w:sz="4" w:space="0" w:color="auto"/>
            </w:tcBorders>
            <w:vAlign w:val="center"/>
          </w:tcPr>
          <w:p w14:paraId="03F49AA3" w14:textId="48AED4E2" w:rsidR="005A7AEB" w:rsidRPr="009C2361" w:rsidRDefault="005A7AEB" w:rsidP="005A7AEB">
            <w:pPr>
              <w:snapToGrid w:val="0"/>
              <w:jc w:val="center"/>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2</w:t>
            </w:r>
          </w:p>
        </w:tc>
        <w:tc>
          <w:tcPr>
            <w:tcW w:w="2239" w:type="dxa"/>
            <w:tcBorders>
              <w:top w:val="single" w:sz="4" w:space="0" w:color="auto"/>
              <w:left w:val="single" w:sz="4" w:space="0" w:color="auto"/>
              <w:bottom w:val="single" w:sz="4" w:space="0" w:color="auto"/>
              <w:right w:val="single" w:sz="4" w:space="0" w:color="auto"/>
            </w:tcBorders>
            <w:vAlign w:val="center"/>
          </w:tcPr>
          <w:p w14:paraId="59DD20DA" w14:textId="7629C574" w:rsidR="005A7AEB" w:rsidRPr="009C2361" w:rsidRDefault="005A7AEB" w:rsidP="005A7AEB">
            <w:pPr>
              <w:jc w:val="center"/>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工银瑞投－工银理财四海甄选集合资产管理计划</w:t>
            </w:r>
          </w:p>
        </w:tc>
        <w:tc>
          <w:tcPr>
            <w:tcW w:w="2552" w:type="dxa"/>
            <w:tcBorders>
              <w:top w:val="single" w:sz="4" w:space="0" w:color="auto"/>
              <w:left w:val="single" w:sz="4" w:space="0" w:color="auto"/>
              <w:bottom w:val="single" w:sz="4" w:space="0" w:color="auto"/>
              <w:right w:val="single" w:sz="4" w:space="0" w:color="auto"/>
            </w:tcBorders>
            <w:vAlign w:val="center"/>
          </w:tcPr>
          <w:p w14:paraId="13422988" w14:textId="3B88EDCD" w:rsidR="005A7AEB" w:rsidRPr="009C2361" w:rsidRDefault="005A7AEB" w:rsidP="005A7AEB">
            <w:pPr>
              <w:jc w:val="center"/>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 xml:space="preserve">   12,500,000.00 </w:t>
            </w:r>
          </w:p>
        </w:tc>
        <w:tc>
          <w:tcPr>
            <w:tcW w:w="2268" w:type="dxa"/>
            <w:tcBorders>
              <w:top w:val="single" w:sz="4" w:space="0" w:color="auto"/>
              <w:left w:val="single" w:sz="4" w:space="0" w:color="auto"/>
              <w:bottom w:val="single" w:sz="4" w:space="0" w:color="auto"/>
              <w:right w:val="single" w:sz="4" w:space="0" w:color="auto"/>
            </w:tcBorders>
          </w:tcPr>
          <w:p w14:paraId="6C40142E" w14:textId="0F17924A" w:rsidR="005A7AEB" w:rsidRPr="009C2361" w:rsidRDefault="005A7AEB" w:rsidP="005A7AEB">
            <w:pPr>
              <w:snapToGrid w:val="0"/>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其他专业机构投资者战略配售限售</w:t>
            </w:r>
          </w:p>
        </w:tc>
        <w:tc>
          <w:tcPr>
            <w:tcW w:w="1588" w:type="dxa"/>
            <w:tcBorders>
              <w:top w:val="single" w:sz="4" w:space="0" w:color="auto"/>
              <w:left w:val="single" w:sz="4" w:space="0" w:color="auto"/>
              <w:bottom w:val="single" w:sz="4" w:space="0" w:color="auto"/>
              <w:right w:val="single" w:sz="4" w:space="0" w:color="auto"/>
            </w:tcBorders>
            <w:vAlign w:val="center"/>
          </w:tcPr>
          <w:p w14:paraId="71531761" w14:textId="1653D8EF" w:rsidR="005A7AEB" w:rsidRPr="009C2361" w:rsidRDefault="005A7AEB" w:rsidP="005A7AEB">
            <w:pPr>
              <w:snapToGrid w:val="0"/>
              <w:jc w:val="center"/>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12</w:t>
            </w:r>
          </w:p>
        </w:tc>
      </w:tr>
    </w:tbl>
    <w:p w14:paraId="50232A09" w14:textId="77777777" w:rsidR="008669EF" w:rsidRPr="009C2361" w:rsidRDefault="008669EF" w:rsidP="008669EF">
      <w:pPr>
        <w:pStyle w:val="a3"/>
        <w:snapToGrid w:val="0"/>
        <w:spacing w:before="0" w:beforeAutospacing="0" w:after="0" w:afterAutospacing="0" w:line="240" w:lineRule="auto"/>
        <w:ind w:firstLine="480"/>
        <w:jc w:val="both"/>
        <w:rPr>
          <w:rFonts w:asciiTheme="minorEastAsia" w:eastAsiaTheme="minorEastAsia" w:hAnsiTheme="minorEastAsia" w:cs="Times New Roman"/>
        </w:rPr>
      </w:pPr>
      <w:r w:rsidRPr="009C2361">
        <w:rPr>
          <w:rFonts w:asciiTheme="minorEastAsia" w:eastAsiaTheme="minorEastAsia" w:hAnsiTheme="minorEastAsia" w:cs="Times New Roman" w:hint="eastAsia"/>
        </w:rPr>
        <w:t>注：上述限售份额自2022年6月21日起满足解除限售条件。</w:t>
      </w:r>
    </w:p>
    <w:p w14:paraId="22CDE6FD" w14:textId="77777777" w:rsidR="008669EF" w:rsidRPr="009C2361" w:rsidRDefault="008669EF" w:rsidP="008669EF">
      <w:pPr>
        <w:pStyle w:val="a3"/>
        <w:snapToGrid w:val="0"/>
        <w:spacing w:before="0" w:beforeAutospacing="0" w:after="0" w:afterAutospacing="0" w:line="240" w:lineRule="auto"/>
        <w:ind w:firstLine="482"/>
        <w:jc w:val="both"/>
        <w:rPr>
          <w:rFonts w:asciiTheme="minorEastAsia" w:eastAsiaTheme="minorEastAsia" w:hAnsiTheme="minorEastAsia" w:cs="Times New Roman"/>
          <w:b/>
        </w:rPr>
      </w:pPr>
    </w:p>
    <w:p w14:paraId="7392A7CC" w14:textId="250DB03C" w:rsidR="00616D31" w:rsidRPr="009C2361" w:rsidRDefault="008669EF" w:rsidP="00055197">
      <w:pPr>
        <w:pStyle w:val="a3"/>
        <w:snapToGrid w:val="0"/>
        <w:spacing w:before="0" w:beforeAutospacing="0" w:after="0" w:afterAutospacing="0" w:line="240" w:lineRule="auto"/>
        <w:ind w:firstLine="482"/>
        <w:jc w:val="both"/>
        <w:rPr>
          <w:rFonts w:asciiTheme="minorEastAsia" w:eastAsiaTheme="minorEastAsia" w:hAnsiTheme="minorEastAsia" w:cs="Times New Roman"/>
          <w:b/>
        </w:rPr>
      </w:pPr>
      <w:r w:rsidRPr="009C2361">
        <w:rPr>
          <w:rFonts w:asciiTheme="minorEastAsia" w:eastAsiaTheme="minorEastAsia" w:hAnsiTheme="minorEastAsia" w:cs="Times New Roman" w:hint="eastAsia"/>
          <w:b/>
        </w:rPr>
        <w:t>2</w:t>
      </w:r>
      <w:r w:rsidRPr="009C2361">
        <w:rPr>
          <w:rFonts w:asciiTheme="minorEastAsia" w:eastAsiaTheme="minorEastAsia" w:hAnsiTheme="minorEastAsia" w:cs="Times New Roman"/>
          <w:b/>
        </w:rPr>
        <w:t>.</w:t>
      </w:r>
      <w:r w:rsidR="00616D31" w:rsidRPr="009C2361">
        <w:rPr>
          <w:rFonts w:asciiTheme="minorEastAsia" w:eastAsiaTheme="minorEastAsia" w:hAnsiTheme="minorEastAsia" w:cs="Times New Roman" w:hint="eastAsia"/>
          <w:b/>
        </w:rPr>
        <w:t>本次解除限售后剩余限售份额情况：</w:t>
      </w:r>
    </w:p>
    <w:p w14:paraId="34937BCE" w14:textId="2EDAACFF" w:rsidR="00055197" w:rsidRPr="009C2361" w:rsidRDefault="005A7AEB" w:rsidP="00055197">
      <w:pPr>
        <w:pStyle w:val="a3"/>
        <w:snapToGrid w:val="0"/>
        <w:spacing w:before="0" w:beforeAutospacing="0" w:after="0" w:afterAutospacing="0" w:line="240" w:lineRule="auto"/>
        <w:ind w:firstLine="480"/>
        <w:jc w:val="both"/>
        <w:rPr>
          <w:rFonts w:asciiTheme="minorEastAsia" w:eastAsiaTheme="minorEastAsia" w:hAnsiTheme="minorEastAsia" w:cs="Times New Roman"/>
        </w:rPr>
      </w:pPr>
      <w:r w:rsidRPr="009C2361">
        <w:rPr>
          <w:rFonts w:asciiTheme="minorEastAsia" w:eastAsiaTheme="minorEastAsia" w:hAnsiTheme="minorEastAsia" w:cs="Times New Roman"/>
        </w:rPr>
        <w:t>无</w:t>
      </w:r>
      <w:r w:rsidRPr="009C2361">
        <w:rPr>
          <w:rFonts w:asciiTheme="minorEastAsia" w:eastAsiaTheme="minorEastAsia" w:hAnsiTheme="minorEastAsia" w:cs="Times New Roman" w:hint="eastAsia"/>
        </w:rPr>
        <w:t>。</w:t>
      </w:r>
    </w:p>
    <w:p w14:paraId="425E4A20" w14:textId="35D63C2B" w:rsidR="00055197" w:rsidRPr="009C2361" w:rsidRDefault="00055197" w:rsidP="00F8785C">
      <w:pPr>
        <w:pStyle w:val="a3"/>
        <w:snapToGrid w:val="0"/>
        <w:spacing w:before="0" w:beforeAutospacing="0" w:after="0" w:afterAutospacing="0" w:line="240" w:lineRule="auto"/>
        <w:ind w:firstLineChars="0" w:firstLine="0"/>
        <w:jc w:val="both"/>
        <w:rPr>
          <w:rFonts w:asciiTheme="minorEastAsia" w:eastAsiaTheme="minorEastAsia" w:hAnsiTheme="minorEastAsia" w:cs="Times New Roman"/>
          <w:b/>
        </w:rPr>
      </w:pPr>
    </w:p>
    <w:p w14:paraId="604D02CA" w14:textId="61269273" w:rsidR="00055197" w:rsidRPr="009C2361" w:rsidRDefault="00055197" w:rsidP="00F8785C">
      <w:pPr>
        <w:widowControl/>
        <w:snapToGrid w:val="0"/>
        <w:spacing w:line="360" w:lineRule="auto"/>
        <w:ind w:firstLineChars="200" w:firstLine="482"/>
        <w:rPr>
          <w:rFonts w:asciiTheme="minorEastAsia" w:eastAsiaTheme="minorEastAsia" w:hAnsiTheme="minorEastAsia"/>
          <w:b/>
          <w:color w:val="000000"/>
          <w:sz w:val="24"/>
          <w:szCs w:val="24"/>
        </w:rPr>
      </w:pPr>
      <w:r w:rsidRPr="009C2361">
        <w:rPr>
          <w:rFonts w:asciiTheme="minorEastAsia" w:eastAsiaTheme="minorEastAsia" w:hAnsiTheme="minorEastAsia" w:hint="eastAsia"/>
          <w:b/>
          <w:color w:val="000000"/>
          <w:sz w:val="24"/>
          <w:szCs w:val="24"/>
        </w:rPr>
        <w:t>三、本次限售份额上市后流通份额变化情况</w:t>
      </w:r>
    </w:p>
    <w:p w14:paraId="0570F94C" w14:textId="55E5A4B5" w:rsidR="00055197" w:rsidRPr="009C2361" w:rsidRDefault="00055197" w:rsidP="00175F89">
      <w:pPr>
        <w:spacing w:line="360" w:lineRule="auto"/>
        <w:ind w:firstLineChars="200" w:firstLine="480"/>
        <w:jc w:val="both"/>
        <w:rPr>
          <w:rFonts w:asciiTheme="minorEastAsia" w:eastAsiaTheme="minorEastAsia" w:hAnsiTheme="minorEastAsia"/>
          <w:sz w:val="24"/>
          <w:szCs w:val="24"/>
        </w:rPr>
      </w:pPr>
      <w:r w:rsidRPr="009C2361">
        <w:rPr>
          <w:rFonts w:asciiTheme="minorEastAsia" w:eastAsiaTheme="minorEastAsia" w:hAnsiTheme="minorEastAsia" w:hint="eastAsia"/>
          <w:sz w:val="24"/>
          <w:szCs w:val="24"/>
        </w:rPr>
        <w:t>本次战略配售份额上市流通前，可在二级市场交易的本基金流通份额为</w:t>
      </w:r>
      <w:r w:rsidR="00653C6B" w:rsidRPr="009C2361">
        <w:rPr>
          <w:rFonts w:asciiTheme="minorEastAsia" w:eastAsiaTheme="minorEastAsia" w:hAnsiTheme="minorEastAsia"/>
          <w:sz w:val="24"/>
          <w:szCs w:val="24"/>
        </w:rPr>
        <w:t>120,000,000</w:t>
      </w:r>
      <w:r w:rsidRPr="009C2361">
        <w:rPr>
          <w:rFonts w:asciiTheme="minorEastAsia" w:eastAsiaTheme="minorEastAsia" w:hAnsiTheme="minorEastAsia" w:hint="eastAsia"/>
          <w:sz w:val="24"/>
          <w:szCs w:val="24"/>
        </w:rPr>
        <w:t>份，占本基金全部基金份额的</w:t>
      </w:r>
      <w:r w:rsidR="00653C6B" w:rsidRPr="009C2361">
        <w:rPr>
          <w:rFonts w:asciiTheme="minorEastAsia" w:eastAsiaTheme="minorEastAsia" w:hAnsiTheme="minorEastAsia"/>
          <w:sz w:val="24"/>
          <w:szCs w:val="24"/>
        </w:rPr>
        <w:t>24</w:t>
      </w:r>
      <w:r w:rsidRPr="009C2361">
        <w:rPr>
          <w:rFonts w:asciiTheme="minorEastAsia" w:eastAsiaTheme="minorEastAsia" w:hAnsiTheme="minorEastAsia" w:hint="eastAsia"/>
          <w:sz w:val="24"/>
          <w:szCs w:val="24"/>
        </w:rPr>
        <w:t>%。本次战略配售份额解禁后，可流通份额合计为</w:t>
      </w:r>
      <w:r w:rsidR="00653C6B" w:rsidRPr="009C2361">
        <w:rPr>
          <w:rFonts w:asciiTheme="minorEastAsia" w:eastAsiaTheme="minorEastAsia" w:hAnsiTheme="minorEastAsia"/>
          <w:sz w:val="24"/>
          <w:szCs w:val="24"/>
        </w:rPr>
        <w:t>245,000</w:t>
      </w:r>
      <w:r w:rsidR="00653C6B" w:rsidRPr="009C2361">
        <w:rPr>
          <w:rFonts w:asciiTheme="minorEastAsia" w:eastAsiaTheme="minorEastAsia" w:hAnsiTheme="minorEastAsia" w:hint="eastAsia"/>
          <w:sz w:val="24"/>
          <w:szCs w:val="24"/>
        </w:rPr>
        <w:t>,</w:t>
      </w:r>
      <w:r w:rsidR="00653C6B" w:rsidRPr="009C2361">
        <w:rPr>
          <w:rFonts w:asciiTheme="minorEastAsia" w:eastAsiaTheme="minorEastAsia" w:hAnsiTheme="minorEastAsia"/>
          <w:sz w:val="24"/>
          <w:szCs w:val="24"/>
        </w:rPr>
        <w:t>000</w:t>
      </w:r>
      <w:r w:rsidRPr="009C2361">
        <w:rPr>
          <w:rFonts w:asciiTheme="minorEastAsia" w:eastAsiaTheme="minorEastAsia" w:hAnsiTheme="minorEastAsia" w:hint="eastAsia"/>
          <w:sz w:val="24"/>
          <w:szCs w:val="24"/>
        </w:rPr>
        <w:t>份，占本基金全部基金份额的</w:t>
      </w:r>
      <w:r w:rsidR="00653C6B" w:rsidRPr="009C2361">
        <w:rPr>
          <w:rFonts w:asciiTheme="minorEastAsia" w:eastAsiaTheme="minorEastAsia" w:hAnsiTheme="minorEastAsia"/>
          <w:sz w:val="24"/>
          <w:szCs w:val="24"/>
        </w:rPr>
        <w:t>49</w:t>
      </w:r>
      <w:r w:rsidRPr="009C2361">
        <w:rPr>
          <w:rFonts w:asciiTheme="minorEastAsia" w:eastAsiaTheme="minorEastAsia" w:hAnsiTheme="minorEastAsia" w:hint="eastAsia"/>
          <w:sz w:val="24"/>
          <w:szCs w:val="24"/>
        </w:rPr>
        <w:t>%。</w:t>
      </w:r>
      <w:r w:rsidR="00ED37A2" w:rsidRPr="009C2361">
        <w:rPr>
          <w:rFonts w:asciiTheme="minorEastAsia" w:eastAsiaTheme="minorEastAsia" w:hAnsiTheme="minorEastAsia" w:hint="eastAsia"/>
          <w:sz w:val="24"/>
          <w:szCs w:val="24"/>
        </w:rPr>
        <w:t>前述流通份额均包括场外份额，</w:t>
      </w:r>
      <w:r w:rsidR="007D5B9C" w:rsidRPr="009C2361">
        <w:rPr>
          <w:rFonts w:asciiTheme="minorEastAsia" w:eastAsiaTheme="minorEastAsia" w:hAnsiTheme="minorEastAsia" w:hint="eastAsia"/>
          <w:sz w:val="24"/>
          <w:szCs w:val="24"/>
        </w:rPr>
        <w:t>场外份额</w:t>
      </w:r>
      <w:r w:rsidR="00ED37A2" w:rsidRPr="009C2361">
        <w:rPr>
          <w:rFonts w:asciiTheme="minorEastAsia" w:eastAsiaTheme="minorEastAsia" w:hAnsiTheme="minorEastAsia" w:hint="eastAsia"/>
          <w:sz w:val="24"/>
          <w:szCs w:val="24"/>
        </w:rPr>
        <w:t>在符合相关办理条件的前提下通过跨系统转托管至场内后即可上市流通</w:t>
      </w:r>
      <w:r w:rsidR="007D5B9C" w:rsidRPr="009C2361">
        <w:rPr>
          <w:rFonts w:asciiTheme="minorEastAsia" w:eastAsiaTheme="minorEastAsia" w:hAnsiTheme="minorEastAsia" w:hint="eastAsia"/>
          <w:sz w:val="24"/>
          <w:szCs w:val="24"/>
        </w:rPr>
        <w:t>，也可通过基金通平台办理场外份额交易服务（仅限卖出）</w:t>
      </w:r>
      <w:r w:rsidR="00ED37A2" w:rsidRPr="009C2361">
        <w:rPr>
          <w:rFonts w:asciiTheme="minorEastAsia" w:eastAsiaTheme="minorEastAsia" w:hAnsiTheme="minorEastAsia" w:hint="eastAsia"/>
          <w:sz w:val="24"/>
          <w:szCs w:val="24"/>
        </w:rPr>
        <w:t>。</w:t>
      </w:r>
    </w:p>
    <w:p w14:paraId="76181FE4" w14:textId="77777777" w:rsidR="00653C6B" w:rsidRPr="009C2361" w:rsidRDefault="00653C6B" w:rsidP="00F8785C">
      <w:pPr>
        <w:widowControl/>
        <w:snapToGrid w:val="0"/>
        <w:spacing w:line="360" w:lineRule="auto"/>
        <w:ind w:firstLineChars="200" w:firstLine="482"/>
        <w:rPr>
          <w:rFonts w:asciiTheme="minorEastAsia" w:eastAsiaTheme="minorEastAsia" w:hAnsiTheme="minorEastAsia"/>
          <w:b/>
          <w:color w:val="000000"/>
          <w:sz w:val="24"/>
          <w:szCs w:val="24"/>
        </w:rPr>
      </w:pPr>
    </w:p>
    <w:p w14:paraId="36835B6F" w14:textId="58C16AA7" w:rsidR="009C415D" w:rsidRPr="009C2361" w:rsidRDefault="00055197" w:rsidP="00F8785C">
      <w:pPr>
        <w:widowControl/>
        <w:snapToGrid w:val="0"/>
        <w:spacing w:line="360" w:lineRule="auto"/>
        <w:ind w:firstLineChars="200" w:firstLine="482"/>
        <w:rPr>
          <w:rFonts w:asciiTheme="minorEastAsia" w:eastAsiaTheme="minorEastAsia" w:hAnsiTheme="minorEastAsia"/>
          <w:b/>
          <w:color w:val="000000"/>
          <w:sz w:val="24"/>
          <w:szCs w:val="24"/>
        </w:rPr>
      </w:pPr>
      <w:r w:rsidRPr="009C2361">
        <w:rPr>
          <w:rFonts w:asciiTheme="minorEastAsia" w:eastAsiaTheme="minorEastAsia" w:hAnsiTheme="minorEastAsia" w:hint="eastAsia"/>
          <w:b/>
          <w:color w:val="000000"/>
          <w:sz w:val="24"/>
          <w:szCs w:val="24"/>
        </w:rPr>
        <w:t>四</w:t>
      </w:r>
      <w:r w:rsidR="009C415D" w:rsidRPr="009C2361">
        <w:rPr>
          <w:rFonts w:asciiTheme="minorEastAsia" w:eastAsiaTheme="minorEastAsia" w:hAnsiTheme="minorEastAsia" w:hint="eastAsia"/>
          <w:b/>
          <w:color w:val="000000"/>
          <w:sz w:val="24"/>
          <w:szCs w:val="24"/>
        </w:rPr>
        <w:t>、其他需要提示的事项</w:t>
      </w:r>
    </w:p>
    <w:p w14:paraId="197BD406" w14:textId="77777777" w:rsidR="00653C6B" w:rsidRPr="009C2361" w:rsidRDefault="00653C6B" w:rsidP="00653C6B">
      <w:pPr>
        <w:spacing w:line="360" w:lineRule="auto"/>
        <w:ind w:firstLineChars="200" w:firstLine="480"/>
        <w:rPr>
          <w:rFonts w:asciiTheme="minorEastAsia" w:eastAsiaTheme="minorEastAsia" w:hAnsiTheme="minorEastAsia"/>
          <w:sz w:val="24"/>
          <w:szCs w:val="24"/>
        </w:rPr>
      </w:pPr>
      <w:r w:rsidRPr="009C2361">
        <w:rPr>
          <w:rFonts w:asciiTheme="minorEastAsia" w:eastAsiaTheme="minorEastAsia" w:hAnsiTheme="minorEastAsia" w:hint="eastAsia"/>
          <w:sz w:val="24"/>
          <w:szCs w:val="24"/>
        </w:rPr>
        <w:t>（一）限售期安排</w:t>
      </w:r>
    </w:p>
    <w:p w14:paraId="3E81B46F" w14:textId="72694985" w:rsidR="00653C6B" w:rsidRPr="009C2361" w:rsidRDefault="00653C6B" w:rsidP="00175F89">
      <w:pPr>
        <w:spacing w:line="360" w:lineRule="auto"/>
        <w:ind w:firstLineChars="200" w:firstLine="480"/>
        <w:jc w:val="both"/>
        <w:rPr>
          <w:rFonts w:asciiTheme="minorEastAsia" w:eastAsiaTheme="minorEastAsia" w:hAnsiTheme="minorEastAsia"/>
          <w:sz w:val="24"/>
          <w:szCs w:val="24"/>
        </w:rPr>
      </w:pPr>
      <w:r w:rsidRPr="009C2361">
        <w:rPr>
          <w:rFonts w:asciiTheme="minorEastAsia" w:eastAsiaTheme="minorEastAsia" w:hAnsiTheme="minorEastAsia" w:hint="eastAsia"/>
          <w:sz w:val="24"/>
          <w:szCs w:val="24"/>
        </w:rPr>
        <w:t>本基金原始权益人北京首创生态环保集团股份有限公司（原名</w:t>
      </w:r>
      <w:r w:rsidR="00F8785C" w:rsidRPr="009C2361">
        <w:rPr>
          <w:rFonts w:asciiTheme="minorEastAsia" w:eastAsiaTheme="minorEastAsia" w:hAnsiTheme="minorEastAsia" w:hint="eastAsia"/>
          <w:sz w:val="24"/>
          <w:szCs w:val="24"/>
        </w:rPr>
        <w:t>:</w:t>
      </w:r>
      <w:r w:rsidRPr="009C2361">
        <w:rPr>
          <w:rFonts w:asciiTheme="minorEastAsia" w:eastAsiaTheme="minorEastAsia" w:hAnsiTheme="minorEastAsia" w:hint="eastAsia"/>
          <w:sz w:val="24"/>
          <w:szCs w:val="24"/>
        </w:rPr>
        <w:t>北京首创股份有限公司）所持战略配售的基金份额数量在本基金投资之深圳基础设施项目和合肥基础设施项目的特许经营权期限内（以届时存续的前述基础设施项目的特许经营权到期日孰晚为准）不得转让，且不得通过其他方式造成其持有份额产生权利瑕疵，如协议安排、融资、抵押、质押、保理等。</w:t>
      </w:r>
    </w:p>
    <w:p w14:paraId="10F3E064" w14:textId="77777777" w:rsidR="00653C6B" w:rsidRPr="009C2361" w:rsidRDefault="00653C6B" w:rsidP="00175F89">
      <w:pPr>
        <w:spacing w:line="360" w:lineRule="auto"/>
        <w:ind w:firstLineChars="200" w:firstLine="480"/>
        <w:jc w:val="both"/>
        <w:rPr>
          <w:rFonts w:asciiTheme="minorEastAsia" w:eastAsiaTheme="minorEastAsia" w:hAnsiTheme="minorEastAsia"/>
          <w:sz w:val="24"/>
          <w:szCs w:val="24"/>
        </w:rPr>
      </w:pPr>
      <w:r w:rsidRPr="009C2361">
        <w:rPr>
          <w:rFonts w:asciiTheme="minorEastAsia" w:eastAsiaTheme="minorEastAsia" w:hAnsiTheme="minorEastAsia" w:hint="eastAsia"/>
          <w:sz w:val="24"/>
          <w:szCs w:val="24"/>
        </w:rPr>
        <w:t>其他战略配售投资者获得配售的本基金份额持有期自基金上市之日起</w:t>
      </w:r>
      <w:r w:rsidRPr="009C2361">
        <w:rPr>
          <w:rFonts w:asciiTheme="minorEastAsia" w:eastAsiaTheme="minorEastAsia" w:hAnsiTheme="minorEastAsia"/>
          <w:sz w:val="24"/>
          <w:szCs w:val="24"/>
        </w:rPr>
        <w:t>12个月。</w:t>
      </w:r>
    </w:p>
    <w:p w14:paraId="76F41C8A" w14:textId="77777777" w:rsidR="00653C6B" w:rsidRPr="009C2361" w:rsidRDefault="00653C6B" w:rsidP="00653C6B">
      <w:pPr>
        <w:spacing w:line="360" w:lineRule="auto"/>
        <w:ind w:firstLineChars="200" w:firstLine="480"/>
        <w:rPr>
          <w:rFonts w:asciiTheme="minorEastAsia" w:eastAsiaTheme="minorEastAsia" w:hAnsiTheme="minorEastAsia"/>
          <w:sz w:val="24"/>
          <w:szCs w:val="24"/>
        </w:rPr>
      </w:pPr>
      <w:r w:rsidRPr="009C2361">
        <w:rPr>
          <w:rFonts w:asciiTheme="minorEastAsia" w:eastAsiaTheme="minorEastAsia" w:hAnsiTheme="minorEastAsia" w:hint="eastAsia"/>
          <w:sz w:val="24"/>
          <w:szCs w:val="24"/>
        </w:rPr>
        <w:t>（二）净现金流分派率说明</w:t>
      </w:r>
    </w:p>
    <w:p w14:paraId="0DF7CD87" w14:textId="34FD8650" w:rsidR="00653C6B" w:rsidRPr="009C2361" w:rsidRDefault="00653C6B" w:rsidP="00175F89">
      <w:pPr>
        <w:widowControl/>
        <w:snapToGrid w:val="0"/>
        <w:spacing w:line="360" w:lineRule="auto"/>
        <w:ind w:firstLineChars="200" w:firstLine="480"/>
        <w:jc w:val="both"/>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基金首次发行时的净现金流分派率预测值=预计年度可</w:t>
      </w:r>
      <w:r w:rsidR="00064182" w:rsidRPr="009C2361">
        <w:rPr>
          <w:rFonts w:asciiTheme="minorEastAsia" w:eastAsiaTheme="minorEastAsia" w:hAnsiTheme="minorEastAsia" w:hint="eastAsia"/>
          <w:color w:val="000000"/>
          <w:sz w:val="24"/>
          <w:szCs w:val="24"/>
        </w:rPr>
        <w:t>供</w:t>
      </w:r>
      <w:r w:rsidRPr="009C2361">
        <w:rPr>
          <w:rFonts w:asciiTheme="minorEastAsia" w:eastAsiaTheme="minorEastAsia" w:hAnsiTheme="minorEastAsia" w:hint="eastAsia"/>
          <w:color w:val="000000"/>
          <w:sz w:val="24"/>
          <w:szCs w:val="24"/>
        </w:rPr>
        <w:t>分配现金流/基金发行</w:t>
      </w:r>
      <w:r w:rsidR="003A00DA" w:rsidRPr="009C2361">
        <w:rPr>
          <w:rFonts w:asciiTheme="minorEastAsia" w:eastAsiaTheme="minorEastAsia" w:hAnsiTheme="minorEastAsia"/>
          <w:color w:val="000000"/>
          <w:sz w:val="24"/>
          <w:szCs w:val="24"/>
        </w:rPr>
        <w:t>规模</w:t>
      </w:r>
      <w:r w:rsidRPr="009C2361">
        <w:rPr>
          <w:rFonts w:asciiTheme="minorEastAsia" w:eastAsiaTheme="minorEastAsia" w:hAnsiTheme="minorEastAsia" w:hint="eastAsia"/>
          <w:color w:val="000000"/>
          <w:sz w:val="24"/>
          <w:szCs w:val="24"/>
        </w:rPr>
        <w:t>。对应到每个投资者的年度净现金流分派率</w:t>
      </w:r>
      <w:r w:rsidR="003A00DA" w:rsidRPr="009C2361">
        <w:rPr>
          <w:rFonts w:asciiTheme="minorEastAsia" w:eastAsiaTheme="minorEastAsia" w:hAnsiTheme="minorEastAsia" w:hint="eastAsia"/>
          <w:color w:val="000000"/>
          <w:sz w:val="24"/>
          <w:szCs w:val="24"/>
        </w:rPr>
        <w:t>预测值</w:t>
      </w:r>
      <w:r w:rsidRPr="009C2361">
        <w:rPr>
          <w:rFonts w:asciiTheme="minorEastAsia" w:eastAsiaTheme="minorEastAsia" w:hAnsiTheme="minorEastAsia" w:hint="eastAsia"/>
          <w:color w:val="000000"/>
          <w:sz w:val="24"/>
          <w:szCs w:val="24"/>
        </w:rPr>
        <w:t>=</w:t>
      </w:r>
      <w:r w:rsidR="003A00DA" w:rsidRPr="009C2361">
        <w:rPr>
          <w:rFonts w:asciiTheme="minorEastAsia" w:eastAsiaTheme="minorEastAsia" w:hAnsiTheme="minorEastAsia" w:hint="eastAsia"/>
          <w:color w:val="000000"/>
          <w:sz w:val="24"/>
          <w:szCs w:val="24"/>
        </w:rPr>
        <w:t>预计</w:t>
      </w:r>
      <w:r w:rsidRPr="009C2361">
        <w:rPr>
          <w:rFonts w:asciiTheme="minorEastAsia" w:eastAsiaTheme="minorEastAsia" w:hAnsiTheme="minorEastAsia" w:hint="eastAsia"/>
          <w:color w:val="000000"/>
          <w:sz w:val="24"/>
          <w:szCs w:val="24"/>
        </w:rPr>
        <w:t>年度</w:t>
      </w:r>
      <w:r w:rsidR="00487575" w:rsidRPr="009C2361">
        <w:rPr>
          <w:rFonts w:asciiTheme="minorEastAsia" w:eastAsiaTheme="minorEastAsia" w:hAnsiTheme="minorEastAsia" w:hint="eastAsia"/>
          <w:color w:val="000000"/>
          <w:sz w:val="24"/>
          <w:szCs w:val="24"/>
        </w:rPr>
        <w:t>可供分配现金流</w:t>
      </w:r>
      <w:r w:rsidRPr="009C2361">
        <w:rPr>
          <w:rFonts w:asciiTheme="minorEastAsia" w:eastAsiaTheme="minorEastAsia" w:hAnsiTheme="minorEastAsia" w:hint="eastAsia"/>
          <w:color w:val="000000"/>
          <w:sz w:val="24"/>
          <w:szCs w:val="24"/>
        </w:rPr>
        <w:t>/基金买入成本。二级市场交易价格上涨会导致买入成本上涨，导致投资者实际的净现金流分派率降低。</w:t>
      </w:r>
    </w:p>
    <w:p w14:paraId="76945D07" w14:textId="315E3F6C" w:rsidR="00653C6B" w:rsidRPr="009C2361" w:rsidRDefault="00653C6B" w:rsidP="00175F89">
      <w:pPr>
        <w:widowControl/>
        <w:snapToGrid w:val="0"/>
        <w:spacing w:line="360" w:lineRule="auto"/>
        <w:ind w:firstLineChars="200" w:firstLine="480"/>
        <w:jc w:val="both"/>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根据</w:t>
      </w:r>
      <w:bookmarkStart w:id="0" w:name="_Hlk103945574"/>
      <w:r w:rsidR="003A00DA" w:rsidRPr="009C2361">
        <w:rPr>
          <w:rFonts w:asciiTheme="minorEastAsia" w:eastAsiaTheme="minorEastAsia" w:hAnsiTheme="minorEastAsia" w:hint="eastAsia"/>
          <w:color w:val="000000"/>
          <w:sz w:val="24"/>
          <w:szCs w:val="24"/>
        </w:rPr>
        <w:t>《富国首创水务封闭式基础设施证券投资基金招募说明书》及《富国首创水务封闭式基础设施证券投资基金2</w:t>
      </w:r>
      <w:r w:rsidR="003A00DA" w:rsidRPr="009C2361">
        <w:rPr>
          <w:rFonts w:asciiTheme="minorEastAsia" w:eastAsiaTheme="minorEastAsia" w:hAnsiTheme="minorEastAsia"/>
          <w:color w:val="000000"/>
          <w:sz w:val="24"/>
          <w:szCs w:val="24"/>
        </w:rPr>
        <w:t>021</w:t>
      </w:r>
      <w:r w:rsidR="003A00DA" w:rsidRPr="009C2361">
        <w:rPr>
          <w:rFonts w:asciiTheme="minorEastAsia" w:eastAsiaTheme="minorEastAsia" w:hAnsiTheme="minorEastAsia" w:hint="eastAsia"/>
          <w:color w:val="000000"/>
          <w:sz w:val="24"/>
          <w:szCs w:val="24"/>
        </w:rPr>
        <w:t>年年度报告》</w:t>
      </w:r>
      <w:bookmarkEnd w:id="0"/>
      <w:r w:rsidRPr="009C2361">
        <w:rPr>
          <w:rFonts w:asciiTheme="minorEastAsia" w:eastAsiaTheme="minorEastAsia" w:hAnsiTheme="minorEastAsia" w:hint="eastAsia"/>
          <w:color w:val="000000"/>
          <w:sz w:val="24"/>
          <w:szCs w:val="24"/>
        </w:rPr>
        <w:t>，</w:t>
      </w:r>
      <w:r w:rsidR="00706FC8" w:rsidRPr="009C2361">
        <w:rPr>
          <w:rFonts w:asciiTheme="minorEastAsia" w:eastAsiaTheme="minorEastAsia" w:hAnsiTheme="minorEastAsia" w:hint="eastAsia"/>
          <w:color w:val="000000"/>
          <w:sz w:val="24"/>
          <w:szCs w:val="24"/>
        </w:rPr>
        <w:t>本基金在2021年年报中披露的2</w:t>
      </w:r>
      <w:r w:rsidR="00706FC8" w:rsidRPr="009C2361">
        <w:rPr>
          <w:rFonts w:asciiTheme="minorEastAsia" w:eastAsiaTheme="minorEastAsia" w:hAnsiTheme="minorEastAsia"/>
          <w:color w:val="000000"/>
          <w:sz w:val="24"/>
          <w:szCs w:val="24"/>
        </w:rPr>
        <w:t>021年</w:t>
      </w:r>
      <w:r w:rsidR="00706FC8" w:rsidRPr="009C2361">
        <w:rPr>
          <w:rFonts w:asciiTheme="minorEastAsia" w:eastAsiaTheme="minorEastAsia" w:hAnsiTheme="minorEastAsia" w:hint="eastAsia"/>
          <w:color w:val="000000"/>
          <w:sz w:val="24"/>
          <w:szCs w:val="24"/>
        </w:rPr>
        <w:t>可供分配金额为</w:t>
      </w:r>
      <w:r w:rsidR="00706FC8" w:rsidRPr="009C2361">
        <w:rPr>
          <w:rFonts w:asciiTheme="minorEastAsia" w:eastAsiaTheme="minorEastAsia" w:hAnsiTheme="minorEastAsia"/>
          <w:color w:val="000000"/>
          <w:sz w:val="24"/>
          <w:szCs w:val="24"/>
        </w:rPr>
        <w:t>137,151,587.50</w:t>
      </w:r>
      <w:r w:rsidR="00706FC8" w:rsidRPr="009C2361">
        <w:rPr>
          <w:rFonts w:asciiTheme="minorEastAsia" w:eastAsiaTheme="minorEastAsia" w:hAnsiTheme="minorEastAsia" w:hint="eastAsia"/>
          <w:color w:val="000000"/>
          <w:sz w:val="24"/>
          <w:szCs w:val="24"/>
        </w:rPr>
        <w:t>元，在招募说明书中披露的2022年度预测的可供分配金额为</w:t>
      </w:r>
      <w:r w:rsidR="00706FC8" w:rsidRPr="009C2361">
        <w:rPr>
          <w:rFonts w:asciiTheme="minorEastAsia" w:eastAsiaTheme="minorEastAsia" w:hAnsiTheme="minorEastAsia"/>
          <w:color w:val="000000"/>
          <w:sz w:val="24"/>
          <w:szCs w:val="24"/>
        </w:rPr>
        <w:t>167,981,610.89</w:t>
      </w:r>
      <w:r w:rsidR="00706FC8" w:rsidRPr="009C2361">
        <w:rPr>
          <w:rFonts w:asciiTheme="minorEastAsia" w:eastAsiaTheme="minorEastAsia" w:hAnsiTheme="minorEastAsia" w:hint="eastAsia"/>
          <w:color w:val="000000"/>
          <w:sz w:val="24"/>
          <w:szCs w:val="24"/>
        </w:rPr>
        <w:t>元</w:t>
      </w:r>
      <w:r w:rsidRPr="009C2361">
        <w:rPr>
          <w:rFonts w:asciiTheme="minorEastAsia" w:eastAsiaTheme="minorEastAsia" w:hAnsiTheme="minorEastAsia" w:hint="eastAsia"/>
          <w:color w:val="000000"/>
          <w:sz w:val="24"/>
          <w:szCs w:val="24"/>
        </w:rPr>
        <w:t>。净现金流分派率的计算方法举例说明如下：</w:t>
      </w:r>
    </w:p>
    <w:p w14:paraId="34C1BD18" w14:textId="3D0EFFD7" w:rsidR="00653C6B" w:rsidRPr="009C2361" w:rsidRDefault="00653C6B" w:rsidP="00175F89">
      <w:pPr>
        <w:widowControl/>
        <w:snapToGrid w:val="0"/>
        <w:spacing w:line="360" w:lineRule="auto"/>
        <w:ind w:firstLineChars="200" w:firstLine="480"/>
        <w:jc w:val="both"/>
        <w:rPr>
          <w:rFonts w:asciiTheme="minorEastAsia" w:eastAsiaTheme="minorEastAsia" w:hAnsiTheme="minorEastAsia"/>
          <w:color w:val="000000"/>
          <w:sz w:val="24"/>
          <w:szCs w:val="24"/>
        </w:rPr>
      </w:pPr>
      <w:r w:rsidRPr="009C2361">
        <w:rPr>
          <w:rFonts w:asciiTheme="minorEastAsia" w:eastAsiaTheme="minorEastAsia" w:hAnsiTheme="minorEastAsia"/>
          <w:color w:val="000000"/>
          <w:sz w:val="24"/>
          <w:szCs w:val="24"/>
        </w:rPr>
        <w:t>1、投资者在首次发行时买入本基金，买入价格3.700元/份，该投资者的2021年</w:t>
      </w:r>
      <w:r w:rsidR="000E3E81" w:rsidRPr="009C2361">
        <w:rPr>
          <w:rFonts w:asciiTheme="minorEastAsia" w:eastAsiaTheme="minorEastAsia" w:hAnsiTheme="minorEastAsia" w:hint="eastAsia"/>
          <w:color w:val="000000"/>
          <w:sz w:val="24"/>
          <w:szCs w:val="24"/>
        </w:rPr>
        <w:t>测算</w:t>
      </w:r>
      <w:r w:rsidRPr="009C2361">
        <w:rPr>
          <w:rFonts w:asciiTheme="minorEastAsia" w:eastAsiaTheme="minorEastAsia" w:hAnsiTheme="minorEastAsia"/>
          <w:color w:val="000000"/>
          <w:sz w:val="24"/>
          <w:szCs w:val="24"/>
        </w:rPr>
        <w:t>净现金流分派率=</w:t>
      </w:r>
      <w:r w:rsidR="006248BE" w:rsidRPr="009C2361">
        <w:rPr>
          <w:rFonts w:asciiTheme="minorEastAsia" w:eastAsiaTheme="minorEastAsia" w:hAnsiTheme="minorEastAsia" w:hint="eastAsia"/>
          <w:color w:val="000000"/>
          <w:sz w:val="24"/>
          <w:szCs w:val="24"/>
        </w:rPr>
        <w:t>（</w:t>
      </w:r>
      <w:r w:rsidR="006248BE" w:rsidRPr="009C2361">
        <w:rPr>
          <w:rFonts w:asciiTheme="minorEastAsia" w:eastAsiaTheme="minorEastAsia" w:hAnsiTheme="minorEastAsia"/>
          <w:color w:val="000000"/>
          <w:sz w:val="24"/>
          <w:szCs w:val="24"/>
        </w:rPr>
        <w:t>137,151,587.50/500</w:t>
      </w:r>
      <w:r w:rsidR="006248BE" w:rsidRPr="009C2361">
        <w:rPr>
          <w:rFonts w:asciiTheme="minorEastAsia" w:eastAsiaTheme="minorEastAsia" w:hAnsiTheme="minorEastAsia" w:hint="eastAsia"/>
          <w:color w:val="000000"/>
          <w:sz w:val="24"/>
          <w:szCs w:val="24"/>
        </w:rPr>
        <w:t>,</w:t>
      </w:r>
      <w:r w:rsidR="006248BE" w:rsidRPr="009C2361">
        <w:rPr>
          <w:rFonts w:asciiTheme="minorEastAsia" w:eastAsiaTheme="minorEastAsia" w:hAnsiTheme="minorEastAsia"/>
          <w:color w:val="000000"/>
          <w:sz w:val="24"/>
          <w:szCs w:val="24"/>
        </w:rPr>
        <w:t>000</w:t>
      </w:r>
      <w:r w:rsidR="006248BE" w:rsidRPr="009C2361">
        <w:rPr>
          <w:rFonts w:asciiTheme="minorEastAsia" w:eastAsiaTheme="minorEastAsia" w:hAnsiTheme="minorEastAsia" w:hint="eastAsia"/>
          <w:color w:val="000000"/>
          <w:sz w:val="24"/>
          <w:szCs w:val="24"/>
        </w:rPr>
        <w:t>,</w:t>
      </w:r>
      <w:r w:rsidR="006248BE" w:rsidRPr="009C2361">
        <w:rPr>
          <w:rFonts w:asciiTheme="minorEastAsia" w:eastAsiaTheme="minorEastAsia" w:hAnsiTheme="minorEastAsia"/>
          <w:color w:val="000000"/>
          <w:sz w:val="24"/>
          <w:szCs w:val="24"/>
        </w:rPr>
        <w:t>000</w:t>
      </w:r>
      <w:r w:rsidR="006248BE" w:rsidRPr="009C2361">
        <w:rPr>
          <w:rFonts w:asciiTheme="minorEastAsia" w:eastAsiaTheme="minorEastAsia" w:hAnsiTheme="minorEastAsia" w:hint="eastAsia"/>
          <w:color w:val="000000"/>
          <w:sz w:val="24"/>
          <w:szCs w:val="24"/>
        </w:rPr>
        <w:t>）</w:t>
      </w:r>
      <w:r w:rsidRPr="009C2361">
        <w:rPr>
          <w:rFonts w:asciiTheme="minorEastAsia" w:eastAsiaTheme="minorEastAsia" w:hAnsiTheme="minorEastAsia"/>
          <w:color w:val="000000"/>
          <w:sz w:val="24"/>
          <w:szCs w:val="24"/>
        </w:rPr>
        <w:t>/</w:t>
      </w:r>
      <w:r w:rsidR="000E3E81" w:rsidRPr="009C2361">
        <w:rPr>
          <w:rFonts w:asciiTheme="minorEastAsia" w:eastAsiaTheme="minorEastAsia" w:hAnsiTheme="minorEastAsia" w:hint="eastAsia"/>
          <w:color w:val="000000"/>
          <w:sz w:val="24"/>
          <w:szCs w:val="24"/>
        </w:rPr>
        <w:t>3</w:t>
      </w:r>
      <w:r w:rsidR="000E3E81" w:rsidRPr="009C2361">
        <w:rPr>
          <w:rFonts w:asciiTheme="minorEastAsia" w:eastAsiaTheme="minorEastAsia" w:hAnsiTheme="minorEastAsia"/>
          <w:color w:val="000000"/>
          <w:sz w:val="24"/>
          <w:szCs w:val="24"/>
        </w:rPr>
        <w:t>.7</w:t>
      </w:r>
      <w:r w:rsidRPr="009C2361">
        <w:rPr>
          <w:rFonts w:asciiTheme="minorEastAsia" w:eastAsiaTheme="minorEastAsia" w:hAnsiTheme="minorEastAsia"/>
          <w:color w:val="000000"/>
          <w:sz w:val="24"/>
          <w:szCs w:val="24"/>
        </w:rPr>
        <w:t>=</w:t>
      </w:r>
      <w:r w:rsidR="00064182" w:rsidRPr="009C2361">
        <w:rPr>
          <w:rFonts w:asciiTheme="minorEastAsia" w:eastAsiaTheme="minorEastAsia" w:hAnsiTheme="minorEastAsia"/>
          <w:color w:val="000000"/>
          <w:sz w:val="24"/>
          <w:szCs w:val="24"/>
        </w:rPr>
        <w:t>7.41</w:t>
      </w:r>
      <w:r w:rsidRPr="009C2361">
        <w:rPr>
          <w:rFonts w:asciiTheme="minorEastAsia" w:eastAsiaTheme="minorEastAsia" w:hAnsiTheme="minorEastAsia"/>
          <w:color w:val="000000"/>
          <w:sz w:val="24"/>
          <w:szCs w:val="24"/>
        </w:rPr>
        <w:t>%。</w:t>
      </w:r>
    </w:p>
    <w:p w14:paraId="07801CC3" w14:textId="6BCD929D" w:rsidR="00653C6B" w:rsidRPr="009C2361" w:rsidRDefault="00653C6B" w:rsidP="00175F89">
      <w:pPr>
        <w:widowControl/>
        <w:snapToGrid w:val="0"/>
        <w:spacing w:line="360" w:lineRule="auto"/>
        <w:ind w:firstLineChars="200" w:firstLine="480"/>
        <w:jc w:val="both"/>
        <w:rPr>
          <w:rFonts w:asciiTheme="minorEastAsia" w:eastAsiaTheme="minorEastAsia" w:hAnsiTheme="minorEastAsia"/>
          <w:color w:val="000000"/>
          <w:sz w:val="24"/>
          <w:szCs w:val="24"/>
        </w:rPr>
      </w:pPr>
      <w:r w:rsidRPr="009C2361">
        <w:rPr>
          <w:rFonts w:asciiTheme="minorEastAsia" w:eastAsiaTheme="minorEastAsia" w:hAnsiTheme="minorEastAsia"/>
          <w:color w:val="000000"/>
          <w:sz w:val="24"/>
          <w:szCs w:val="24"/>
        </w:rPr>
        <w:t>2、投资者在</w:t>
      </w:r>
      <w:r w:rsidR="009C2361" w:rsidRPr="009C2361">
        <w:rPr>
          <w:rFonts w:asciiTheme="minorEastAsia" w:eastAsiaTheme="minorEastAsia" w:hAnsiTheme="minorEastAsia" w:hint="eastAsia"/>
          <w:color w:val="000000"/>
          <w:sz w:val="24"/>
          <w:szCs w:val="24"/>
        </w:rPr>
        <w:t>2</w:t>
      </w:r>
      <w:r w:rsidR="009C2361" w:rsidRPr="009C2361">
        <w:rPr>
          <w:rFonts w:asciiTheme="minorEastAsia" w:eastAsiaTheme="minorEastAsia" w:hAnsiTheme="minorEastAsia"/>
          <w:color w:val="000000"/>
          <w:sz w:val="24"/>
          <w:szCs w:val="24"/>
        </w:rPr>
        <w:t>022</w:t>
      </w:r>
      <w:r w:rsidR="009C2361" w:rsidRPr="009C2361">
        <w:rPr>
          <w:rFonts w:asciiTheme="minorEastAsia" w:eastAsiaTheme="minorEastAsia" w:hAnsiTheme="minorEastAsia" w:hint="eastAsia"/>
          <w:color w:val="000000"/>
          <w:sz w:val="24"/>
          <w:szCs w:val="24"/>
        </w:rPr>
        <w:t>年</w:t>
      </w:r>
      <w:r w:rsidR="009C2361">
        <w:rPr>
          <w:rFonts w:asciiTheme="minorEastAsia" w:eastAsiaTheme="minorEastAsia" w:hAnsiTheme="minorEastAsia"/>
          <w:color w:val="000000"/>
          <w:sz w:val="24"/>
          <w:szCs w:val="24"/>
        </w:rPr>
        <w:t>6</w:t>
      </w:r>
      <w:r w:rsidR="006248BE" w:rsidRPr="009C2361">
        <w:rPr>
          <w:rFonts w:asciiTheme="minorEastAsia" w:eastAsiaTheme="minorEastAsia" w:hAnsiTheme="minorEastAsia" w:hint="eastAsia"/>
          <w:color w:val="000000"/>
          <w:sz w:val="24"/>
          <w:szCs w:val="24"/>
        </w:rPr>
        <w:t>月</w:t>
      </w:r>
      <w:r w:rsidR="009C2361">
        <w:rPr>
          <w:rFonts w:asciiTheme="minorEastAsia" w:eastAsiaTheme="minorEastAsia" w:hAnsiTheme="minorEastAsia"/>
          <w:color w:val="000000"/>
          <w:sz w:val="24"/>
          <w:szCs w:val="24"/>
        </w:rPr>
        <w:t>7</w:t>
      </w:r>
      <w:r w:rsidR="006248BE" w:rsidRPr="009C2361">
        <w:rPr>
          <w:rFonts w:asciiTheme="minorEastAsia" w:eastAsiaTheme="minorEastAsia" w:hAnsiTheme="minorEastAsia" w:hint="eastAsia"/>
          <w:color w:val="000000"/>
          <w:sz w:val="24"/>
          <w:szCs w:val="24"/>
        </w:rPr>
        <w:t>日</w:t>
      </w:r>
      <w:r w:rsidRPr="009C2361">
        <w:rPr>
          <w:rFonts w:asciiTheme="minorEastAsia" w:eastAsiaTheme="minorEastAsia" w:hAnsiTheme="minorEastAsia"/>
          <w:color w:val="000000"/>
          <w:sz w:val="24"/>
          <w:szCs w:val="24"/>
        </w:rPr>
        <w:t>通过二级市场交易买入本基金，</w:t>
      </w:r>
      <w:r w:rsidR="000E3E81" w:rsidRPr="009C2361">
        <w:rPr>
          <w:rFonts w:asciiTheme="minorEastAsia" w:eastAsiaTheme="minorEastAsia" w:hAnsiTheme="minorEastAsia" w:hint="eastAsia"/>
          <w:color w:val="000000"/>
          <w:sz w:val="24"/>
          <w:szCs w:val="24"/>
        </w:rPr>
        <w:t>假设</w:t>
      </w:r>
      <w:r w:rsidRPr="009C2361">
        <w:rPr>
          <w:rFonts w:asciiTheme="minorEastAsia" w:eastAsiaTheme="minorEastAsia" w:hAnsiTheme="minorEastAsia" w:hint="eastAsia"/>
          <w:color w:val="000000"/>
          <w:sz w:val="24"/>
          <w:szCs w:val="24"/>
        </w:rPr>
        <w:t>买入价格</w:t>
      </w:r>
      <w:r w:rsidR="000E3E81" w:rsidRPr="009C2361">
        <w:rPr>
          <w:rFonts w:asciiTheme="minorEastAsia" w:eastAsiaTheme="minorEastAsia" w:hAnsiTheme="minorEastAsia"/>
          <w:color w:val="000000"/>
          <w:sz w:val="24"/>
          <w:szCs w:val="24"/>
        </w:rPr>
        <w:t>5.</w:t>
      </w:r>
      <w:r w:rsidR="000F3FB6">
        <w:rPr>
          <w:rFonts w:asciiTheme="minorEastAsia" w:eastAsiaTheme="minorEastAsia" w:hAnsiTheme="minorEastAsia"/>
          <w:color w:val="000000"/>
          <w:sz w:val="24"/>
          <w:szCs w:val="24"/>
        </w:rPr>
        <w:t>415</w:t>
      </w:r>
      <w:r w:rsidRPr="009C2361">
        <w:rPr>
          <w:rFonts w:asciiTheme="minorEastAsia" w:eastAsiaTheme="minorEastAsia" w:hAnsiTheme="minorEastAsia" w:hint="eastAsia"/>
          <w:color w:val="000000"/>
          <w:sz w:val="24"/>
          <w:szCs w:val="24"/>
        </w:rPr>
        <w:t>元</w:t>
      </w:r>
      <w:r w:rsidRPr="009C2361">
        <w:rPr>
          <w:rFonts w:asciiTheme="minorEastAsia" w:eastAsiaTheme="minorEastAsia" w:hAnsiTheme="minorEastAsia"/>
          <w:color w:val="000000"/>
          <w:sz w:val="24"/>
          <w:szCs w:val="24"/>
        </w:rPr>
        <w:t>/份，该投资者的202</w:t>
      </w:r>
      <w:r w:rsidR="006248BE" w:rsidRPr="009C2361">
        <w:rPr>
          <w:rFonts w:asciiTheme="minorEastAsia" w:eastAsiaTheme="minorEastAsia" w:hAnsiTheme="minorEastAsia"/>
          <w:color w:val="000000"/>
          <w:sz w:val="24"/>
          <w:szCs w:val="24"/>
        </w:rPr>
        <w:t>2</w:t>
      </w:r>
      <w:r w:rsidRPr="009C2361">
        <w:rPr>
          <w:rFonts w:asciiTheme="minorEastAsia" w:eastAsiaTheme="minorEastAsia" w:hAnsiTheme="minorEastAsia"/>
          <w:color w:val="000000"/>
          <w:sz w:val="24"/>
          <w:szCs w:val="24"/>
        </w:rPr>
        <w:t>年度净现金流分派率</w:t>
      </w:r>
      <w:r w:rsidR="000E3E81" w:rsidRPr="009C2361">
        <w:rPr>
          <w:rFonts w:asciiTheme="minorEastAsia" w:eastAsiaTheme="minorEastAsia" w:hAnsiTheme="minorEastAsia"/>
          <w:color w:val="000000"/>
          <w:sz w:val="24"/>
          <w:szCs w:val="24"/>
        </w:rPr>
        <w:t>预测值</w:t>
      </w:r>
      <w:r w:rsidRPr="009C2361">
        <w:rPr>
          <w:rFonts w:asciiTheme="minorEastAsia" w:eastAsiaTheme="minorEastAsia" w:hAnsiTheme="minorEastAsia"/>
          <w:color w:val="000000"/>
          <w:sz w:val="24"/>
          <w:szCs w:val="24"/>
        </w:rPr>
        <w:t>=</w:t>
      </w:r>
      <w:r w:rsidR="006248BE" w:rsidRPr="009C2361">
        <w:rPr>
          <w:rFonts w:asciiTheme="minorEastAsia" w:eastAsiaTheme="minorEastAsia" w:hAnsiTheme="minorEastAsia" w:hint="eastAsia"/>
          <w:color w:val="000000"/>
          <w:sz w:val="24"/>
          <w:szCs w:val="24"/>
        </w:rPr>
        <w:t>（</w:t>
      </w:r>
      <w:r w:rsidR="006248BE" w:rsidRPr="009C2361">
        <w:rPr>
          <w:rFonts w:asciiTheme="minorEastAsia" w:eastAsiaTheme="minorEastAsia" w:hAnsiTheme="minorEastAsia"/>
          <w:color w:val="000000"/>
          <w:sz w:val="24"/>
          <w:szCs w:val="24"/>
        </w:rPr>
        <w:t>167,981,610.89/500</w:t>
      </w:r>
      <w:r w:rsidR="006248BE" w:rsidRPr="009C2361">
        <w:rPr>
          <w:rFonts w:asciiTheme="minorEastAsia" w:eastAsiaTheme="minorEastAsia" w:hAnsiTheme="minorEastAsia" w:hint="eastAsia"/>
          <w:color w:val="000000"/>
          <w:sz w:val="24"/>
          <w:szCs w:val="24"/>
        </w:rPr>
        <w:t>,</w:t>
      </w:r>
      <w:r w:rsidR="006248BE" w:rsidRPr="009C2361">
        <w:rPr>
          <w:rFonts w:asciiTheme="minorEastAsia" w:eastAsiaTheme="minorEastAsia" w:hAnsiTheme="minorEastAsia"/>
          <w:color w:val="000000"/>
          <w:sz w:val="24"/>
          <w:szCs w:val="24"/>
        </w:rPr>
        <w:t>000</w:t>
      </w:r>
      <w:r w:rsidR="006248BE" w:rsidRPr="009C2361">
        <w:rPr>
          <w:rFonts w:asciiTheme="minorEastAsia" w:eastAsiaTheme="minorEastAsia" w:hAnsiTheme="minorEastAsia" w:hint="eastAsia"/>
          <w:color w:val="000000"/>
          <w:sz w:val="24"/>
          <w:szCs w:val="24"/>
        </w:rPr>
        <w:t>,</w:t>
      </w:r>
      <w:r w:rsidR="006248BE" w:rsidRPr="009C2361">
        <w:rPr>
          <w:rFonts w:asciiTheme="minorEastAsia" w:eastAsiaTheme="minorEastAsia" w:hAnsiTheme="minorEastAsia"/>
          <w:color w:val="000000"/>
          <w:sz w:val="24"/>
          <w:szCs w:val="24"/>
        </w:rPr>
        <w:t>000</w:t>
      </w:r>
      <w:r w:rsidR="006248BE" w:rsidRPr="009C2361">
        <w:rPr>
          <w:rFonts w:asciiTheme="minorEastAsia" w:eastAsiaTheme="minorEastAsia" w:hAnsiTheme="minorEastAsia" w:hint="eastAsia"/>
          <w:color w:val="000000"/>
          <w:sz w:val="24"/>
          <w:szCs w:val="24"/>
        </w:rPr>
        <w:t>）</w:t>
      </w:r>
      <w:r w:rsidRPr="009C2361">
        <w:rPr>
          <w:rFonts w:asciiTheme="minorEastAsia" w:eastAsiaTheme="minorEastAsia" w:hAnsiTheme="minorEastAsia"/>
          <w:color w:val="000000"/>
          <w:sz w:val="24"/>
          <w:szCs w:val="24"/>
        </w:rPr>
        <w:t>/</w:t>
      </w:r>
      <w:r w:rsidR="000E3E81" w:rsidRPr="009C2361">
        <w:rPr>
          <w:rFonts w:asciiTheme="minorEastAsia" w:eastAsiaTheme="minorEastAsia" w:hAnsiTheme="minorEastAsia"/>
          <w:color w:val="000000"/>
          <w:sz w:val="24"/>
          <w:szCs w:val="24"/>
        </w:rPr>
        <w:t>5.</w:t>
      </w:r>
      <w:r w:rsidR="000F3FB6">
        <w:rPr>
          <w:rFonts w:asciiTheme="minorEastAsia" w:eastAsiaTheme="minorEastAsia" w:hAnsiTheme="minorEastAsia"/>
          <w:color w:val="000000"/>
          <w:sz w:val="24"/>
          <w:szCs w:val="24"/>
        </w:rPr>
        <w:t>415</w:t>
      </w:r>
      <w:r w:rsidRPr="009C2361">
        <w:rPr>
          <w:rFonts w:asciiTheme="minorEastAsia" w:eastAsiaTheme="minorEastAsia" w:hAnsiTheme="minorEastAsia"/>
          <w:color w:val="000000"/>
          <w:sz w:val="24"/>
          <w:szCs w:val="24"/>
        </w:rPr>
        <w:t>=</w:t>
      </w:r>
      <w:r w:rsidR="000E3E81" w:rsidRPr="009C2361">
        <w:rPr>
          <w:rFonts w:asciiTheme="minorEastAsia" w:eastAsiaTheme="minorEastAsia" w:hAnsiTheme="minorEastAsia"/>
          <w:color w:val="000000"/>
          <w:sz w:val="24"/>
          <w:szCs w:val="24"/>
        </w:rPr>
        <w:t>6.</w:t>
      </w:r>
      <w:r w:rsidR="000F3FB6">
        <w:rPr>
          <w:rFonts w:asciiTheme="minorEastAsia" w:eastAsiaTheme="minorEastAsia" w:hAnsiTheme="minorEastAsia"/>
          <w:color w:val="000000"/>
          <w:sz w:val="24"/>
          <w:szCs w:val="24"/>
        </w:rPr>
        <w:t>204</w:t>
      </w:r>
      <w:r w:rsidRPr="009C2361">
        <w:rPr>
          <w:rFonts w:asciiTheme="minorEastAsia" w:eastAsiaTheme="minorEastAsia" w:hAnsiTheme="minorEastAsia"/>
          <w:color w:val="000000"/>
          <w:sz w:val="24"/>
          <w:szCs w:val="24"/>
        </w:rPr>
        <w:t>%。</w:t>
      </w:r>
    </w:p>
    <w:p w14:paraId="388BDE6C" w14:textId="77777777" w:rsidR="00F8785C" w:rsidRPr="009C2361" w:rsidRDefault="00F8785C" w:rsidP="00175F89">
      <w:pPr>
        <w:widowControl/>
        <w:snapToGrid w:val="0"/>
        <w:spacing w:line="360" w:lineRule="auto"/>
        <w:ind w:firstLineChars="200" w:firstLine="480"/>
        <w:jc w:val="both"/>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需特别说明的是：</w:t>
      </w:r>
    </w:p>
    <w:p w14:paraId="68E0BA29" w14:textId="03164D92" w:rsidR="00F8785C" w:rsidRPr="009C2361" w:rsidRDefault="00F8785C" w:rsidP="00175F89">
      <w:pPr>
        <w:widowControl/>
        <w:snapToGrid w:val="0"/>
        <w:spacing w:line="360" w:lineRule="auto"/>
        <w:ind w:firstLineChars="200" w:firstLine="480"/>
        <w:jc w:val="both"/>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1、以上计算说明中的</w:t>
      </w:r>
      <w:r w:rsidR="006248BE" w:rsidRPr="009C2361">
        <w:rPr>
          <w:rFonts w:asciiTheme="minorEastAsia" w:eastAsiaTheme="minorEastAsia" w:hAnsiTheme="minorEastAsia" w:hint="eastAsia"/>
          <w:color w:val="000000"/>
          <w:sz w:val="24"/>
          <w:szCs w:val="24"/>
        </w:rPr>
        <w:t>2</w:t>
      </w:r>
      <w:r w:rsidR="006248BE" w:rsidRPr="009C2361">
        <w:rPr>
          <w:rFonts w:asciiTheme="minorEastAsia" w:eastAsiaTheme="minorEastAsia" w:hAnsiTheme="minorEastAsia"/>
          <w:color w:val="000000"/>
          <w:sz w:val="24"/>
          <w:szCs w:val="24"/>
        </w:rPr>
        <w:t>022</w:t>
      </w:r>
      <w:r w:rsidR="006248BE" w:rsidRPr="009C2361">
        <w:rPr>
          <w:rFonts w:asciiTheme="minorEastAsia" w:eastAsiaTheme="minorEastAsia" w:hAnsiTheme="minorEastAsia" w:hint="eastAsia"/>
          <w:color w:val="000000"/>
          <w:sz w:val="24"/>
          <w:szCs w:val="24"/>
        </w:rPr>
        <w:t>年可供分配</w:t>
      </w:r>
      <w:r w:rsidRPr="009C2361">
        <w:rPr>
          <w:rFonts w:asciiTheme="minorEastAsia" w:eastAsiaTheme="minorEastAsia" w:hAnsiTheme="minorEastAsia" w:hint="eastAsia"/>
          <w:color w:val="000000"/>
          <w:sz w:val="24"/>
          <w:szCs w:val="24"/>
        </w:rPr>
        <w:t>金额系根据</w:t>
      </w:r>
      <w:r w:rsidR="006248BE" w:rsidRPr="009C2361">
        <w:rPr>
          <w:rFonts w:asciiTheme="minorEastAsia" w:eastAsiaTheme="minorEastAsia" w:hAnsiTheme="minorEastAsia" w:hint="eastAsia"/>
          <w:color w:val="000000"/>
          <w:sz w:val="24"/>
          <w:szCs w:val="24"/>
        </w:rPr>
        <w:t>《富国首创水务封闭式基础设施证券投资基金招募说明书》</w:t>
      </w:r>
      <w:r w:rsidR="000E3E81" w:rsidRPr="009C2361">
        <w:rPr>
          <w:rFonts w:asciiTheme="minorEastAsia" w:eastAsiaTheme="minorEastAsia" w:hAnsiTheme="minorEastAsia" w:hint="eastAsia"/>
          <w:color w:val="000000"/>
          <w:sz w:val="24"/>
          <w:szCs w:val="24"/>
        </w:rPr>
        <w:t>披露的预测数据</w:t>
      </w:r>
      <w:r w:rsidRPr="009C2361">
        <w:rPr>
          <w:rFonts w:asciiTheme="minorEastAsia" w:eastAsiaTheme="minorEastAsia" w:hAnsiTheme="minorEastAsia" w:hint="eastAsia"/>
          <w:color w:val="000000"/>
          <w:sz w:val="24"/>
          <w:szCs w:val="24"/>
        </w:rPr>
        <w:t>予以假设，不代表</w:t>
      </w:r>
      <w:r w:rsidR="00064182" w:rsidRPr="009C2361">
        <w:rPr>
          <w:rFonts w:asciiTheme="minorEastAsia" w:eastAsiaTheme="minorEastAsia" w:hAnsiTheme="minorEastAsia" w:hint="eastAsia"/>
          <w:color w:val="000000"/>
          <w:sz w:val="24"/>
          <w:szCs w:val="24"/>
        </w:rPr>
        <w:t>实际</w:t>
      </w:r>
      <w:r w:rsidRPr="009C2361">
        <w:rPr>
          <w:rFonts w:asciiTheme="minorEastAsia" w:eastAsiaTheme="minorEastAsia" w:hAnsiTheme="minorEastAsia" w:hint="eastAsia"/>
          <w:color w:val="000000"/>
          <w:sz w:val="24"/>
          <w:szCs w:val="24"/>
        </w:rPr>
        <w:t>年度的</w:t>
      </w:r>
      <w:r w:rsidR="00064182" w:rsidRPr="009C2361">
        <w:rPr>
          <w:rFonts w:asciiTheme="minorEastAsia" w:eastAsiaTheme="minorEastAsia" w:hAnsiTheme="minorEastAsia" w:hint="eastAsia"/>
          <w:color w:val="000000"/>
          <w:sz w:val="24"/>
          <w:szCs w:val="24"/>
        </w:rPr>
        <w:t>可供分配金额</w:t>
      </w:r>
      <w:r w:rsidRPr="009C2361">
        <w:rPr>
          <w:rFonts w:asciiTheme="minorEastAsia" w:eastAsiaTheme="minorEastAsia" w:hAnsiTheme="minorEastAsia" w:hint="eastAsia"/>
          <w:color w:val="000000"/>
          <w:sz w:val="24"/>
          <w:szCs w:val="24"/>
        </w:rPr>
        <w:t>，如后续年度</w:t>
      </w:r>
      <w:r w:rsidR="00064182" w:rsidRPr="009C2361">
        <w:rPr>
          <w:rFonts w:asciiTheme="minorEastAsia" w:eastAsiaTheme="minorEastAsia" w:hAnsiTheme="minorEastAsia" w:hint="eastAsia"/>
          <w:color w:val="000000"/>
          <w:sz w:val="24"/>
          <w:szCs w:val="24"/>
        </w:rPr>
        <w:t>可供分配</w:t>
      </w:r>
      <w:r w:rsidRPr="009C2361">
        <w:rPr>
          <w:rFonts w:asciiTheme="minorEastAsia" w:eastAsiaTheme="minorEastAsia" w:hAnsiTheme="minorEastAsia" w:hint="eastAsia"/>
          <w:color w:val="000000"/>
          <w:sz w:val="24"/>
          <w:szCs w:val="24"/>
        </w:rPr>
        <w:t>金额降低的，将影响届时净现金流分派率的计算结果。</w:t>
      </w:r>
    </w:p>
    <w:p w14:paraId="1052AA70" w14:textId="77777777" w:rsidR="00F8785C" w:rsidRPr="009C2361" w:rsidRDefault="00F8785C" w:rsidP="00175F89">
      <w:pPr>
        <w:widowControl/>
        <w:snapToGrid w:val="0"/>
        <w:spacing w:line="360" w:lineRule="auto"/>
        <w:ind w:firstLineChars="200" w:firstLine="480"/>
        <w:jc w:val="both"/>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lastRenderedPageBreak/>
        <w:t>2、净现金流分派率不等同于基金的收益率。</w:t>
      </w:r>
    </w:p>
    <w:p w14:paraId="0CDA6168" w14:textId="77777777" w:rsidR="00653C6B" w:rsidRPr="009C2361" w:rsidRDefault="00653C6B" w:rsidP="00653C6B">
      <w:pPr>
        <w:widowControl/>
        <w:snapToGrid w:val="0"/>
        <w:spacing w:line="360" w:lineRule="auto"/>
        <w:ind w:firstLineChars="200" w:firstLine="480"/>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（三）内部收益率（IRR）说明</w:t>
      </w:r>
    </w:p>
    <w:p w14:paraId="364D5CE9" w14:textId="14E794FD" w:rsidR="00276F83" w:rsidRDefault="00653C6B" w:rsidP="00276F83">
      <w:pPr>
        <w:widowControl/>
        <w:snapToGrid w:val="0"/>
        <w:spacing w:line="360" w:lineRule="auto"/>
        <w:ind w:firstLineChars="200" w:firstLine="480"/>
        <w:jc w:val="both"/>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内部收益率（IRR）为使得投资基金产生的未来现金流折现现值等于买入成本的收益率。</w:t>
      </w:r>
      <w:r w:rsidR="00276F83">
        <w:rPr>
          <w:rFonts w:asciiTheme="minorEastAsia" w:eastAsiaTheme="minorEastAsia" w:hAnsiTheme="minorEastAsia" w:hint="eastAsia"/>
          <w:color w:val="000000"/>
          <w:sz w:val="24"/>
          <w:szCs w:val="24"/>
        </w:rPr>
        <w:t>内部收益率的</w:t>
      </w:r>
      <w:r w:rsidR="0073100D">
        <w:rPr>
          <w:rFonts w:asciiTheme="minorEastAsia" w:eastAsiaTheme="minorEastAsia" w:hAnsiTheme="minorEastAsia" w:hint="eastAsia"/>
          <w:color w:val="000000"/>
          <w:sz w:val="24"/>
          <w:szCs w:val="24"/>
        </w:rPr>
        <w:t>测算</w:t>
      </w:r>
      <w:bookmarkStart w:id="1" w:name="_GoBack"/>
      <w:bookmarkEnd w:id="1"/>
      <w:r w:rsidR="00276F83">
        <w:rPr>
          <w:rFonts w:asciiTheme="minorEastAsia" w:eastAsiaTheme="minorEastAsia" w:hAnsiTheme="minorEastAsia" w:hint="eastAsia"/>
          <w:color w:val="000000"/>
          <w:sz w:val="24"/>
          <w:szCs w:val="24"/>
        </w:rPr>
        <w:t>过程如下：</w:t>
      </w:r>
    </w:p>
    <w:p w14:paraId="50F21BE1" w14:textId="77777777" w:rsidR="00276F83" w:rsidRPr="00027FE9" w:rsidRDefault="00E94511" w:rsidP="00276F83">
      <w:pPr>
        <w:widowControl/>
        <w:snapToGrid w:val="0"/>
        <w:spacing w:line="360" w:lineRule="auto"/>
        <w:ind w:firstLineChars="200" w:firstLine="420"/>
        <w:jc w:val="both"/>
        <w:rPr>
          <w:rFonts w:asciiTheme="minorEastAsia" w:eastAsiaTheme="minorEastAsia" w:hAnsiTheme="minorEastAsia"/>
          <w:color w:val="333333"/>
          <w:sz w:val="21"/>
          <w:szCs w:val="21"/>
        </w:rPr>
      </w:pPr>
      <m:oMathPara>
        <m:oMath>
          <m:nary>
            <m:naryPr>
              <m:chr m:val="∑"/>
              <m:limLoc m:val="undOvr"/>
              <m:ctrlPr>
                <w:rPr>
                  <w:rFonts w:ascii="Cambria Math" w:hAnsi="Cambria Math" w:cs="Arial"/>
                  <w:color w:val="333333"/>
                  <w:sz w:val="21"/>
                  <w:szCs w:val="21"/>
                </w:rPr>
              </m:ctrlPr>
            </m:naryPr>
            <m:sub>
              <m:r>
                <w:rPr>
                  <w:rFonts w:ascii="Cambria Math" w:hAnsi="Cambria Math" w:cs="Arial"/>
                  <w:color w:val="333333"/>
                  <w:sz w:val="21"/>
                  <w:szCs w:val="21"/>
                </w:rPr>
                <m:t>t</m:t>
              </m:r>
              <m:r>
                <w:rPr>
                  <w:rFonts w:ascii="Cambria Math" w:hAnsi="Cambria Math" w:cs="Arial" w:hint="eastAsia"/>
                  <w:color w:val="333333"/>
                  <w:sz w:val="21"/>
                  <w:szCs w:val="21"/>
                </w:rPr>
                <m:t>=</m:t>
              </m:r>
              <m:r>
                <w:rPr>
                  <w:rFonts w:ascii="Cambria Math" w:hAnsi="Cambria Math" w:cs="Arial"/>
                  <w:color w:val="333333"/>
                  <w:sz w:val="21"/>
                  <w:szCs w:val="21"/>
                </w:rPr>
                <m:t>1</m:t>
              </m:r>
            </m:sub>
            <m:sup>
              <m:r>
                <w:rPr>
                  <w:rFonts w:ascii="Cambria Math" w:hAnsi="Cambria Math" w:cs="Arial"/>
                  <w:color w:val="333333"/>
                  <w:sz w:val="21"/>
                  <w:szCs w:val="21"/>
                </w:rPr>
                <m:t>n</m:t>
              </m:r>
            </m:sup>
            <m:e>
              <m:f>
                <m:fPr>
                  <m:ctrlPr>
                    <w:rPr>
                      <w:rFonts w:ascii="Cambria Math" w:hAnsi="Cambria Math" w:cs="Arial"/>
                      <w:i/>
                      <w:color w:val="333333"/>
                      <w:sz w:val="21"/>
                      <w:szCs w:val="21"/>
                    </w:rPr>
                  </m:ctrlPr>
                </m:fPr>
                <m:num>
                  <m:sSub>
                    <m:sSubPr>
                      <m:ctrlPr>
                        <w:rPr>
                          <w:rFonts w:ascii="Cambria Math" w:hAnsi="Cambria Math" w:cs="Arial"/>
                          <w:i/>
                          <w:color w:val="333333"/>
                          <w:sz w:val="21"/>
                          <w:szCs w:val="21"/>
                        </w:rPr>
                      </m:ctrlPr>
                    </m:sSubPr>
                    <m:e>
                      <m:r>
                        <w:rPr>
                          <w:rFonts w:ascii="Cambria Math" w:hAnsi="Cambria Math" w:cs="Arial"/>
                          <w:color w:val="333333"/>
                          <w:sz w:val="21"/>
                          <w:szCs w:val="21"/>
                        </w:rPr>
                        <m:t>NCF</m:t>
                      </m:r>
                    </m:e>
                    <m:sub>
                      <m:r>
                        <w:rPr>
                          <w:rFonts w:ascii="Cambria Math" w:hAnsi="Cambria Math" w:cs="Arial"/>
                          <w:color w:val="333333"/>
                          <w:sz w:val="21"/>
                          <w:szCs w:val="21"/>
                        </w:rPr>
                        <m:t>t</m:t>
                      </m:r>
                    </m:sub>
                  </m:sSub>
                </m:num>
                <m:den>
                  <m:sSup>
                    <m:sSupPr>
                      <m:ctrlPr>
                        <w:rPr>
                          <w:rFonts w:ascii="Cambria Math" w:hAnsi="Cambria Math" w:cs="Arial"/>
                          <w:i/>
                          <w:color w:val="333333"/>
                          <w:sz w:val="21"/>
                          <w:szCs w:val="21"/>
                        </w:rPr>
                      </m:ctrlPr>
                    </m:sSupPr>
                    <m:e>
                      <m:r>
                        <w:rPr>
                          <w:rFonts w:ascii="Cambria Math" w:hAnsi="Cambria Math" w:cs="Arial" w:hint="eastAsia"/>
                          <w:color w:val="333333"/>
                          <w:sz w:val="21"/>
                          <w:szCs w:val="21"/>
                        </w:rPr>
                        <m:t>（</m:t>
                      </m:r>
                      <m:r>
                        <w:rPr>
                          <w:rFonts w:ascii="Cambria Math" w:hAnsi="Cambria Math" w:cs="Arial"/>
                          <w:color w:val="333333"/>
                          <w:sz w:val="21"/>
                          <w:szCs w:val="21"/>
                        </w:rPr>
                        <m:t>1</m:t>
                      </m:r>
                      <m:r>
                        <w:rPr>
                          <w:rFonts w:ascii="Cambria Math" w:hAnsi="Cambria Math" w:cs="Arial" w:hint="eastAsia"/>
                          <w:color w:val="333333"/>
                          <w:sz w:val="21"/>
                          <w:szCs w:val="21"/>
                        </w:rPr>
                        <m:t>+</m:t>
                      </m:r>
                      <m:r>
                        <w:rPr>
                          <w:rFonts w:ascii="Cambria Math" w:hAnsi="Cambria Math" w:cs="Arial"/>
                          <w:color w:val="333333"/>
                          <w:sz w:val="21"/>
                          <w:szCs w:val="21"/>
                        </w:rPr>
                        <m:t>k</m:t>
                      </m:r>
                      <m:r>
                        <w:rPr>
                          <w:rFonts w:ascii="Cambria Math" w:hAnsi="Cambria Math" w:cs="Arial" w:hint="eastAsia"/>
                          <w:color w:val="333333"/>
                          <w:sz w:val="21"/>
                          <w:szCs w:val="21"/>
                        </w:rPr>
                        <m:t>）</m:t>
                      </m:r>
                    </m:e>
                    <m:sup>
                      <m:r>
                        <w:rPr>
                          <w:rFonts w:ascii="Cambria Math" w:hAnsi="Cambria Math" w:cs="Arial"/>
                          <w:color w:val="333333"/>
                          <w:sz w:val="21"/>
                          <w:szCs w:val="21"/>
                        </w:rPr>
                        <m:t>t</m:t>
                      </m:r>
                    </m:sup>
                  </m:sSup>
                </m:den>
              </m:f>
            </m:e>
          </m:nary>
          <m:r>
            <m:rPr>
              <m:sty m:val="p"/>
            </m:rPr>
            <w:rPr>
              <w:rFonts w:ascii="MS Gothic" w:hAnsi="MS Gothic" w:cs="MS Gothic"/>
              <w:color w:val="333333"/>
              <w:sz w:val="21"/>
              <w:szCs w:val="21"/>
            </w:rPr>
            <m:t>-</m:t>
          </m:r>
          <m:r>
            <m:rPr>
              <m:sty m:val="p"/>
            </m:rPr>
            <w:rPr>
              <w:rFonts w:ascii="Cambria Math" w:hAnsi="Cambria Math" w:cs="Arial"/>
              <w:color w:val="333333"/>
              <w:sz w:val="21"/>
              <w:szCs w:val="21"/>
            </w:rPr>
            <m:t>C</m:t>
          </m:r>
          <m:r>
            <m:rPr>
              <m:sty m:val="p"/>
            </m:rPr>
            <w:rPr>
              <w:rFonts w:ascii="Cambria Math" w:hAnsi="Cambria Math" w:cs="Arial" w:hint="eastAsia"/>
              <w:color w:val="333333"/>
              <w:sz w:val="21"/>
              <w:szCs w:val="21"/>
            </w:rPr>
            <m:t>=</m:t>
          </m:r>
          <m:r>
            <m:rPr>
              <m:sty m:val="p"/>
            </m:rPr>
            <w:rPr>
              <w:rFonts w:ascii="Cambria Math" w:hAnsi="Cambria Math" w:cs="Arial"/>
              <w:color w:val="333333"/>
              <w:sz w:val="21"/>
              <w:szCs w:val="21"/>
            </w:rPr>
            <m:t>0</m:t>
          </m:r>
        </m:oMath>
      </m:oMathPara>
    </w:p>
    <w:p w14:paraId="732465BF" w14:textId="77777777" w:rsidR="00276F83" w:rsidRPr="00276F83" w:rsidRDefault="00276F83" w:rsidP="00276F83">
      <w:pPr>
        <w:widowControl/>
        <w:snapToGrid w:val="0"/>
        <w:spacing w:line="360" w:lineRule="auto"/>
        <w:ind w:firstLineChars="200" w:firstLine="480"/>
        <w:jc w:val="both"/>
        <w:rPr>
          <w:rFonts w:asciiTheme="minorEastAsia" w:eastAsiaTheme="minorEastAsia" w:hAnsiTheme="minorEastAsia"/>
          <w:color w:val="000000" w:themeColor="text1"/>
          <w:sz w:val="24"/>
          <w:szCs w:val="21"/>
        </w:rPr>
      </w:pPr>
      <w:r w:rsidRPr="00276F83">
        <w:rPr>
          <w:rFonts w:asciiTheme="minorEastAsia" w:eastAsiaTheme="minorEastAsia" w:hAnsiTheme="minorEastAsia" w:hint="eastAsia"/>
          <w:color w:val="000000" w:themeColor="text1"/>
          <w:sz w:val="24"/>
          <w:szCs w:val="21"/>
        </w:rPr>
        <w:t>N</w:t>
      </w:r>
      <w:r w:rsidRPr="00276F83">
        <w:rPr>
          <w:rFonts w:asciiTheme="minorEastAsia" w:eastAsiaTheme="minorEastAsia" w:hAnsiTheme="minorEastAsia"/>
          <w:color w:val="000000" w:themeColor="text1"/>
          <w:sz w:val="24"/>
          <w:szCs w:val="21"/>
        </w:rPr>
        <w:t>CF</w:t>
      </w:r>
      <w:r w:rsidRPr="00276F83">
        <w:rPr>
          <w:rFonts w:asciiTheme="minorEastAsia" w:eastAsiaTheme="minorEastAsia" w:hAnsiTheme="minorEastAsia" w:hint="eastAsia"/>
          <w:color w:val="000000" w:themeColor="text1"/>
          <w:sz w:val="24"/>
          <w:szCs w:val="21"/>
          <w:vertAlign w:val="subscript"/>
        </w:rPr>
        <w:t>t</w:t>
      </w:r>
      <w:r w:rsidRPr="00276F83">
        <w:rPr>
          <w:rFonts w:asciiTheme="minorEastAsia" w:eastAsiaTheme="minorEastAsia" w:hAnsiTheme="minorEastAsia" w:hint="eastAsia"/>
          <w:color w:val="000000" w:themeColor="text1"/>
          <w:sz w:val="24"/>
          <w:szCs w:val="21"/>
        </w:rPr>
        <w:t>为第t年预计年度可供分配现金流，</w:t>
      </w:r>
      <w:r w:rsidRPr="00276F83">
        <w:rPr>
          <w:rFonts w:asciiTheme="minorEastAsia" w:eastAsiaTheme="minorEastAsia" w:hAnsiTheme="minorEastAsia"/>
          <w:color w:val="000000" w:themeColor="text1"/>
          <w:sz w:val="24"/>
          <w:szCs w:val="21"/>
        </w:rPr>
        <w:t>n为项目使用年限</w:t>
      </w:r>
      <w:r w:rsidRPr="00276F83">
        <w:rPr>
          <w:rFonts w:asciiTheme="minorEastAsia" w:eastAsiaTheme="minorEastAsia" w:hAnsiTheme="minorEastAsia" w:hint="eastAsia"/>
          <w:color w:val="000000" w:themeColor="text1"/>
          <w:sz w:val="24"/>
          <w:szCs w:val="21"/>
        </w:rPr>
        <w:t>，C为初始基金投资成本,</w:t>
      </w:r>
      <w:r w:rsidRPr="00276F83">
        <w:rPr>
          <w:rFonts w:asciiTheme="minorEastAsia" w:eastAsiaTheme="minorEastAsia" w:hAnsiTheme="minorEastAsia"/>
          <w:color w:val="000000" w:themeColor="text1"/>
          <w:sz w:val="24"/>
          <w:szCs w:val="21"/>
        </w:rPr>
        <w:t>k为</w:t>
      </w:r>
      <w:r w:rsidRPr="00276F83">
        <w:rPr>
          <w:rFonts w:asciiTheme="minorEastAsia" w:eastAsiaTheme="minorEastAsia" w:hAnsiTheme="minorEastAsia" w:hint="eastAsia"/>
          <w:color w:val="000000" w:themeColor="text1"/>
          <w:sz w:val="24"/>
          <w:szCs w:val="21"/>
        </w:rPr>
        <w:t>内部收益率。</w:t>
      </w:r>
    </w:p>
    <w:p w14:paraId="30D780A3" w14:textId="0183BF45" w:rsidR="00653C6B" w:rsidRDefault="00653C6B" w:rsidP="00207A55">
      <w:pPr>
        <w:widowControl/>
        <w:snapToGrid w:val="0"/>
        <w:spacing w:line="360" w:lineRule="auto"/>
        <w:ind w:firstLineChars="200" w:firstLine="480"/>
        <w:jc w:val="both"/>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基金管理人测算的内部收益率基于资产评估价值、资产评估报告</w:t>
      </w:r>
      <w:r w:rsidR="00207A55">
        <w:rPr>
          <w:rFonts w:asciiTheme="minorEastAsia" w:eastAsiaTheme="minorEastAsia" w:hAnsiTheme="minorEastAsia" w:hint="eastAsia"/>
          <w:color w:val="000000"/>
          <w:sz w:val="24"/>
          <w:szCs w:val="24"/>
        </w:rPr>
        <w:t>、</w:t>
      </w:r>
      <w:r w:rsidR="00207A55" w:rsidRPr="00207A55">
        <w:rPr>
          <w:rFonts w:asciiTheme="minorEastAsia" w:eastAsiaTheme="minorEastAsia" w:hAnsiTheme="minorEastAsia" w:hint="eastAsia"/>
          <w:color w:val="000000"/>
          <w:sz w:val="24"/>
          <w:szCs w:val="24"/>
        </w:rPr>
        <w:t>可供分配金额测算报告</w:t>
      </w:r>
      <w:r w:rsidRPr="009C2361">
        <w:rPr>
          <w:rFonts w:asciiTheme="minorEastAsia" w:eastAsiaTheme="minorEastAsia" w:hAnsiTheme="minorEastAsia" w:hint="eastAsia"/>
          <w:color w:val="000000"/>
          <w:sz w:val="24"/>
          <w:szCs w:val="24"/>
        </w:rPr>
        <w:t>中的全周期各年净现金流假设数据等假设条件，具体可参见本基金</w:t>
      </w:r>
      <w:r w:rsidR="000F3FB6" w:rsidRPr="009C2361">
        <w:rPr>
          <w:rFonts w:asciiTheme="minorEastAsia" w:eastAsiaTheme="minorEastAsia" w:hAnsiTheme="minorEastAsia"/>
          <w:color w:val="000000"/>
          <w:sz w:val="24"/>
          <w:szCs w:val="24"/>
        </w:rPr>
        <w:t>首次发行</w:t>
      </w:r>
      <w:r w:rsidR="000F3FB6">
        <w:rPr>
          <w:rFonts w:asciiTheme="minorEastAsia" w:eastAsiaTheme="minorEastAsia" w:hAnsiTheme="minorEastAsia"/>
          <w:color w:val="000000"/>
          <w:sz w:val="24"/>
          <w:szCs w:val="24"/>
        </w:rPr>
        <w:t>的</w:t>
      </w:r>
      <w:r w:rsidRPr="009C2361">
        <w:rPr>
          <w:rFonts w:asciiTheme="minorEastAsia" w:eastAsiaTheme="minorEastAsia" w:hAnsiTheme="minorEastAsia" w:hint="eastAsia"/>
          <w:color w:val="000000"/>
          <w:sz w:val="24"/>
          <w:szCs w:val="24"/>
        </w:rPr>
        <w:t>招募说明书。假设投资者持有基金至到期，在未来现金流假设要素与资产评估报告所列的假设条件一致的情况下（即投资者各年净现金流分派情况与假设条件保持一致），随着二级市场交易价格上涨，投资者买入成本随之提高，投资者的实际内部收益率将相应降低。</w:t>
      </w:r>
    </w:p>
    <w:p w14:paraId="70BEC547" w14:textId="77777777" w:rsidR="009C2361" w:rsidRPr="009C2361" w:rsidRDefault="009C2361" w:rsidP="009C2361">
      <w:pPr>
        <w:widowControl/>
        <w:snapToGrid w:val="0"/>
        <w:spacing w:line="360" w:lineRule="auto"/>
        <w:ind w:firstLineChars="200" w:firstLine="480"/>
        <w:jc w:val="both"/>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假设投资者买入基金并持有到期，未来净现金流假设条件不变的情况下，内部收益率测算情况如下：</w:t>
      </w:r>
    </w:p>
    <w:p w14:paraId="61A32243" w14:textId="77777777" w:rsidR="009C2361" w:rsidRPr="009C2361" w:rsidRDefault="009C2361" w:rsidP="009C2361">
      <w:pPr>
        <w:widowControl/>
        <w:snapToGrid w:val="0"/>
        <w:spacing w:line="360" w:lineRule="auto"/>
        <w:ind w:firstLineChars="200" w:firstLine="480"/>
        <w:jc w:val="both"/>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1、假设投资者在首次发行时买入本基金，买入价格3.700元/份，该投资者的内部收益率预测值约为6.12%（测算依据详见基金招募说明书）；</w:t>
      </w:r>
    </w:p>
    <w:p w14:paraId="4A664CB7" w14:textId="35C85A42" w:rsidR="009C2361" w:rsidRPr="009C2361" w:rsidRDefault="009C2361" w:rsidP="009C2361">
      <w:pPr>
        <w:widowControl/>
        <w:snapToGrid w:val="0"/>
        <w:spacing w:line="360" w:lineRule="auto"/>
        <w:ind w:firstLineChars="200" w:firstLine="480"/>
        <w:jc w:val="both"/>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2、假设投资者在2022年</w:t>
      </w:r>
      <w:r>
        <w:rPr>
          <w:rFonts w:asciiTheme="minorEastAsia" w:eastAsiaTheme="minorEastAsia" w:hAnsiTheme="minorEastAsia"/>
          <w:color w:val="000000"/>
          <w:sz w:val="24"/>
          <w:szCs w:val="24"/>
        </w:rPr>
        <w:t>6</w:t>
      </w:r>
      <w:r w:rsidRPr="009C2361">
        <w:rPr>
          <w:rFonts w:asciiTheme="minorEastAsia" w:eastAsiaTheme="minorEastAsia" w:hAnsiTheme="minorEastAsia" w:hint="eastAsia"/>
          <w:color w:val="000000"/>
          <w:sz w:val="24"/>
          <w:szCs w:val="24"/>
        </w:rPr>
        <w:t>月</w:t>
      </w:r>
      <w:r>
        <w:rPr>
          <w:rFonts w:asciiTheme="minorEastAsia" w:eastAsiaTheme="minorEastAsia" w:hAnsiTheme="minorEastAsia"/>
          <w:color w:val="000000"/>
          <w:sz w:val="24"/>
          <w:szCs w:val="24"/>
        </w:rPr>
        <w:t>7</w:t>
      </w:r>
      <w:r w:rsidRPr="009C2361">
        <w:rPr>
          <w:rFonts w:asciiTheme="minorEastAsia" w:eastAsiaTheme="minorEastAsia" w:hAnsiTheme="minorEastAsia" w:hint="eastAsia"/>
          <w:color w:val="000000"/>
          <w:sz w:val="24"/>
          <w:szCs w:val="24"/>
        </w:rPr>
        <w:t>日买入本基金，买入价格</w:t>
      </w:r>
      <w:r w:rsidR="000F3FB6">
        <w:rPr>
          <w:rFonts w:asciiTheme="minorEastAsia" w:eastAsiaTheme="minorEastAsia" w:hAnsiTheme="minorEastAsia"/>
          <w:color w:val="000000"/>
          <w:sz w:val="24"/>
          <w:szCs w:val="24"/>
        </w:rPr>
        <w:t>5.415</w:t>
      </w:r>
      <w:r w:rsidRPr="009C2361">
        <w:rPr>
          <w:rFonts w:asciiTheme="minorEastAsia" w:eastAsiaTheme="minorEastAsia" w:hAnsiTheme="minorEastAsia" w:hint="eastAsia"/>
          <w:color w:val="000000"/>
          <w:sz w:val="24"/>
          <w:szCs w:val="24"/>
        </w:rPr>
        <w:t>元/份，该投资者的内部收益率预测值约为</w:t>
      </w:r>
      <w:r w:rsidR="000F3FB6">
        <w:rPr>
          <w:rFonts w:asciiTheme="minorEastAsia" w:eastAsiaTheme="minorEastAsia" w:hAnsiTheme="minorEastAsia"/>
          <w:color w:val="000000"/>
          <w:sz w:val="24"/>
          <w:szCs w:val="24"/>
        </w:rPr>
        <w:t>1.38</w:t>
      </w:r>
      <w:r w:rsidRPr="009C2361">
        <w:rPr>
          <w:rFonts w:asciiTheme="minorEastAsia" w:eastAsiaTheme="minorEastAsia" w:hAnsiTheme="minorEastAsia" w:hint="eastAsia"/>
          <w:color w:val="000000"/>
          <w:sz w:val="24"/>
          <w:szCs w:val="24"/>
        </w:rPr>
        <w:t>%。</w:t>
      </w:r>
    </w:p>
    <w:p w14:paraId="4B0E84CD" w14:textId="623B756F" w:rsidR="009C2361" w:rsidRPr="009C2361" w:rsidRDefault="009C2361" w:rsidP="000F3FB6">
      <w:pPr>
        <w:widowControl/>
        <w:snapToGrid w:val="0"/>
        <w:spacing w:line="360" w:lineRule="auto"/>
        <w:ind w:firstLineChars="200" w:firstLine="480"/>
        <w:jc w:val="both"/>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需特别说明的是，以上测算系参考</w:t>
      </w:r>
      <w:r w:rsidR="000F3FB6">
        <w:rPr>
          <w:rFonts w:asciiTheme="minorEastAsia" w:eastAsiaTheme="minorEastAsia" w:hAnsiTheme="minorEastAsia" w:hint="eastAsia"/>
          <w:color w:val="000000"/>
          <w:sz w:val="24"/>
          <w:szCs w:val="24"/>
        </w:rPr>
        <w:t>首次发行时预测的</w:t>
      </w:r>
      <w:r w:rsidRPr="009C2361">
        <w:rPr>
          <w:rFonts w:asciiTheme="minorEastAsia" w:eastAsiaTheme="minorEastAsia" w:hAnsiTheme="minorEastAsia" w:hint="eastAsia"/>
          <w:color w:val="000000"/>
          <w:sz w:val="24"/>
          <w:szCs w:val="24"/>
        </w:rPr>
        <w:t>全周期各年假设数据，不代表后续年度的实际分配金额。如后续年度降低分配金额的，将影响届时内部收益率的计算结果。</w:t>
      </w:r>
    </w:p>
    <w:p w14:paraId="566ECD59" w14:textId="77777777" w:rsidR="00653C6B" w:rsidRPr="009C2361" w:rsidRDefault="00653C6B" w:rsidP="00175F89">
      <w:pPr>
        <w:widowControl/>
        <w:snapToGrid w:val="0"/>
        <w:spacing w:line="360" w:lineRule="auto"/>
        <w:ind w:firstLineChars="200" w:firstLine="480"/>
        <w:jc w:val="both"/>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四）本基金不同于股票、债券或主要投资于股票、债券的基金。本基金80%以上资产投资于污水处理类基础设施项目，在经营环境不发生大幅变化的情况下，随着运营年限的增长，剩余期限内如本基金未扩募新资产，则已持有资产的市场价值逐年降低，进而导致基金净值逐渐降低甚至趋于零。</w:t>
      </w:r>
    </w:p>
    <w:p w14:paraId="73C8AAE4" w14:textId="77777777" w:rsidR="00653C6B" w:rsidRPr="009C2361" w:rsidRDefault="00653C6B" w:rsidP="00175F89">
      <w:pPr>
        <w:widowControl/>
        <w:snapToGrid w:val="0"/>
        <w:spacing w:line="360" w:lineRule="auto"/>
        <w:ind w:firstLineChars="200" w:firstLine="480"/>
        <w:jc w:val="both"/>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本基金持有项目的特许经营权资产在预计使用年限内进行逐期摊销，在基金年度可供分配金额中加回此部分特许经营权摊销，并以不低于基金年度可供分配</w:t>
      </w:r>
      <w:r w:rsidRPr="009C2361">
        <w:rPr>
          <w:rFonts w:asciiTheme="minorEastAsia" w:eastAsiaTheme="minorEastAsia" w:hAnsiTheme="minorEastAsia" w:hint="eastAsia"/>
          <w:color w:val="000000"/>
          <w:sz w:val="24"/>
          <w:szCs w:val="24"/>
        </w:rPr>
        <w:lastRenderedPageBreak/>
        <w:t>金额的90%进行收益分配。在本基金存续期间，投资者仅可通过收益分配或二级市场交易获得现金流，投资者买入本基金不存在到期后还本付息的情况。</w:t>
      </w:r>
    </w:p>
    <w:p w14:paraId="0246B24C" w14:textId="36720E69" w:rsidR="00653C6B" w:rsidRPr="009C2361" w:rsidRDefault="00653C6B" w:rsidP="008669EF">
      <w:pPr>
        <w:pStyle w:val="a3"/>
        <w:snapToGrid w:val="0"/>
        <w:spacing w:before="0" w:beforeAutospacing="0" w:after="0" w:afterAutospacing="0" w:line="240" w:lineRule="auto"/>
        <w:ind w:firstLine="480"/>
        <w:jc w:val="both"/>
        <w:rPr>
          <w:rFonts w:asciiTheme="minorEastAsia" w:eastAsiaTheme="minorEastAsia" w:hAnsiTheme="minorEastAsia" w:cs="Times New Roman"/>
        </w:rPr>
      </w:pPr>
    </w:p>
    <w:p w14:paraId="6D32CE45" w14:textId="77777777" w:rsidR="00653C6B" w:rsidRPr="009C2361" w:rsidRDefault="00653C6B" w:rsidP="008669EF">
      <w:pPr>
        <w:pStyle w:val="a3"/>
        <w:snapToGrid w:val="0"/>
        <w:spacing w:before="0" w:beforeAutospacing="0" w:after="0" w:afterAutospacing="0" w:line="240" w:lineRule="auto"/>
        <w:ind w:firstLine="480"/>
        <w:jc w:val="both"/>
        <w:rPr>
          <w:rFonts w:asciiTheme="minorEastAsia" w:eastAsiaTheme="minorEastAsia" w:hAnsiTheme="minorEastAsia" w:cs="Times New Roman"/>
        </w:rPr>
      </w:pPr>
    </w:p>
    <w:p w14:paraId="3237C649" w14:textId="4B52A23F" w:rsidR="009C415D" w:rsidRPr="009C2361" w:rsidRDefault="00F8785C" w:rsidP="00F8785C">
      <w:pPr>
        <w:widowControl/>
        <w:snapToGrid w:val="0"/>
        <w:spacing w:line="360" w:lineRule="auto"/>
        <w:ind w:firstLineChars="200" w:firstLine="482"/>
        <w:rPr>
          <w:rFonts w:asciiTheme="minorEastAsia" w:eastAsiaTheme="minorEastAsia" w:hAnsiTheme="minorEastAsia"/>
          <w:b/>
          <w:color w:val="000000"/>
          <w:sz w:val="24"/>
          <w:szCs w:val="24"/>
        </w:rPr>
      </w:pPr>
      <w:r w:rsidRPr="009C2361">
        <w:rPr>
          <w:rFonts w:asciiTheme="minorEastAsia" w:eastAsiaTheme="minorEastAsia" w:hAnsiTheme="minorEastAsia"/>
          <w:b/>
          <w:color w:val="000000"/>
          <w:sz w:val="24"/>
          <w:szCs w:val="24"/>
        </w:rPr>
        <w:t>五</w:t>
      </w:r>
      <w:r w:rsidR="009C415D" w:rsidRPr="009C2361">
        <w:rPr>
          <w:rFonts w:asciiTheme="minorEastAsia" w:eastAsiaTheme="minorEastAsia" w:hAnsiTheme="minorEastAsia" w:hint="eastAsia"/>
          <w:b/>
          <w:color w:val="000000"/>
          <w:sz w:val="24"/>
          <w:szCs w:val="24"/>
        </w:rPr>
        <w:t>、相关机构联系方式</w:t>
      </w:r>
    </w:p>
    <w:p w14:paraId="003C0EDE" w14:textId="4B6D2313" w:rsidR="00F8785C" w:rsidRPr="009C2361" w:rsidRDefault="00F8785C" w:rsidP="00F8785C">
      <w:pPr>
        <w:widowControl/>
        <w:snapToGrid w:val="0"/>
        <w:spacing w:line="360" w:lineRule="auto"/>
        <w:ind w:firstLineChars="200" w:firstLine="480"/>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投资者可以登陆本公司网站www.fullgoal.com.cn或拨打本公司客户服务热线95105686、4008880688（全国统一，均免长途费）进行相关咨询。</w:t>
      </w:r>
    </w:p>
    <w:p w14:paraId="5E156B1C" w14:textId="77777777" w:rsidR="00F8785C" w:rsidRPr="009C2361" w:rsidRDefault="00F8785C" w:rsidP="008669EF">
      <w:pPr>
        <w:pStyle w:val="a3"/>
        <w:snapToGrid w:val="0"/>
        <w:spacing w:before="0" w:beforeAutospacing="0" w:after="0" w:afterAutospacing="0" w:line="240" w:lineRule="auto"/>
        <w:ind w:firstLine="482"/>
        <w:jc w:val="both"/>
        <w:rPr>
          <w:rFonts w:asciiTheme="minorEastAsia" w:eastAsiaTheme="minorEastAsia" w:hAnsiTheme="minorEastAsia" w:cs="Times New Roman"/>
          <w:b/>
        </w:rPr>
      </w:pPr>
    </w:p>
    <w:p w14:paraId="0F86D29F" w14:textId="3C2733DD" w:rsidR="009C415D" w:rsidRPr="009C2361" w:rsidRDefault="00F8785C" w:rsidP="00F8785C">
      <w:pPr>
        <w:widowControl/>
        <w:snapToGrid w:val="0"/>
        <w:spacing w:line="360" w:lineRule="auto"/>
        <w:ind w:firstLineChars="200" w:firstLine="482"/>
        <w:rPr>
          <w:rFonts w:asciiTheme="minorEastAsia" w:eastAsiaTheme="minorEastAsia" w:hAnsiTheme="minorEastAsia"/>
          <w:b/>
          <w:color w:val="000000"/>
          <w:sz w:val="24"/>
          <w:szCs w:val="24"/>
        </w:rPr>
      </w:pPr>
      <w:r w:rsidRPr="009C2361">
        <w:rPr>
          <w:rFonts w:asciiTheme="minorEastAsia" w:eastAsiaTheme="minorEastAsia" w:hAnsiTheme="minorEastAsia"/>
          <w:b/>
          <w:color w:val="000000"/>
          <w:sz w:val="24"/>
          <w:szCs w:val="24"/>
        </w:rPr>
        <w:t>六</w:t>
      </w:r>
      <w:r w:rsidR="008669EF" w:rsidRPr="009C2361">
        <w:rPr>
          <w:rFonts w:asciiTheme="minorEastAsia" w:eastAsiaTheme="minorEastAsia" w:hAnsiTheme="minorEastAsia" w:hint="eastAsia"/>
          <w:b/>
          <w:color w:val="000000"/>
          <w:sz w:val="24"/>
          <w:szCs w:val="24"/>
        </w:rPr>
        <w:t>、风险提示</w:t>
      </w:r>
    </w:p>
    <w:p w14:paraId="462BB402" w14:textId="65D3B178" w:rsidR="00F8785C" w:rsidRPr="009C2361" w:rsidRDefault="00F8785C" w:rsidP="00F8785C">
      <w:pPr>
        <w:widowControl/>
        <w:snapToGrid w:val="0"/>
        <w:spacing w:line="360" w:lineRule="auto"/>
        <w:ind w:firstLineChars="200" w:firstLine="480"/>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基金管理人承诺以诚实信用、勤勉尽责的原则管理和运用基金资产，但不保证一定盈利，也不保证最低收益。敬请投资者注意投资风险。投资者投资于本基金前应认真阅读本基金的基金合同和招募说明书。</w:t>
      </w:r>
    </w:p>
    <w:p w14:paraId="58AAABE0" w14:textId="77777777" w:rsidR="00F8785C" w:rsidRPr="009C2361" w:rsidRDefault="00F8785C" w:rsidP="00F8785C">
      <w:pPr>
        <w:widowControl/>
        <w:snapToGrid w:val="0"/>
        <w:spacing w:line="360" w:lineRule="auto"/>
        <w:ind w:firstLineChars="200" w:firstLine="480"/>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本公告的解释权归本公司所有。</w:t>
      </w:r>
    </w:p>
    <w:p w14:paraId="2690A437" w14:textId="77777777" w:rsidR="00F8785C" w:rsidRPr="009C2361" w:rsidRDefault="00F8785C" w:rsidP="00F8785C">
      <w:pPr>
        <w:widowControl/>
        <w:snapToGrid w:val="0"/>
        <w:spacing w:line="360" w:lineRule="auto"/>
        <w:ind w:firstLineChars="200" w:firstLine="480"/>
        <w:rPr>
          <w:rFonts w:asciiTheme="minorEastAsia" w:eastAsiaTheme="minorEastAsia" w:hAnsiTheme="minorEastAsia"/>
          <w:color w:val="000000"/>
          <w:sz w:val="24"/>
          <w:szCs w:val="24"/>
        </w:rPr>
      </w:pPr>
      <w:r w:rsidRPr="009C2361">
        <w:rPr>
          <w:rFonts w:asciiTheme="minorEastAsia" w:eastAsiaTheme="minorEastAsia" w:hAnsiTheme="minorEastAsia" w:hint="eastAsia"/>
          <w:color w:val="000000"/>
          <w:sz w:val="24"/>
          <w:szCs w:val="24"/>
        </w:rPr>
        <w:t>特此公告。</w:t>
      </w:r>
    </w:p>
    <w:p w14:paraId="15F8A4C7" w14:textId="77777777" w:rsidR="00F8785C" w:rsidRPr="009C2361" w:rsidRDefault="00F8785C" w:rsidP="00F8785C">
      <w:pPr>
        <w:widowControl/>
        <w:snapToGrid w:val="0"/>
        <w:spacing w:line="360" w:lineRule="auto"/>
        <w:ind w:firstLineChars="200" w:firstLine="480"/>
        <w:rPr>
          <w:rFonts w:asciiTheme="minorEastAsia" w:eastAsiaTheme="minorEastAsia" w:hAnsiTheme="minorEastAsia"/>
          <w:color w:val="000000"/>
          <w:sz w:val="24"/>
          <w:szCs w:val="24"/>
        </w:rPr>
      </w:pPr>
    </w:p>
    <w:p w14:paraId="7ED6351D" w14:textId="77777777" w:rsidR="00F8785C" w:rsidRPr="009C2361" w:rsidRDefault="00F8785C" w:rsidP="00F8785C">
      <w:pPr>
        <w:spacing w:line="360" w:lineRule="auto"/>
        <w:jc w:val="right"/>
        <w:rPr>
          <w:rFonts w:asciiTheme="minorEastAsia" w:eastAsiaTheme="minorEastAsia" w:hAnsiTheme="minorEastAsia"/>
          <w:sz w:val="24"/>
          <w:szCs w:val="24"/>
        </w:rPr>
      </w:pPr>
      <w:r w:rsidRPr="009C2361">
        <w:rPr>
          <w:rFonts w:asciiTheme="minorEastAsia" w:eastAsiaTheme="minorEastAsia" w:hAnsiTheme="minorEastAsia" w:hint="eastAsia"/>
          <w:sz w:val="24"/>
          <w:szCs w:val="24"/>
        </w:rPr>
        <w:t>富国基金管理有限公司</w:t>
      </w:r>
    </w:p>
    <w:p w14:paraId="7AC09D08" w14:textId="1D5031E4" w:rsidR="00F8785C" w:rsidRPr="009C2361" w:rsidRDefault="00F8785C" w:rsidP="00F8785C">
      <w:pPr>
        <w:spacing w:line="360" w:lineRule="auto"/>
        <w:jc w:val="right"/>
        <w:rPr>
          <w:rFonts w:asciiTheme="minorEastAsia" w:eastAsiaTheme="minorEastAsia" w:hAnsiTheme="minorEastAsia"/>
          <w:sz w:val="24"/>
          <w:szCs w:val="24"/>
        </w:rPr>
      </w:pPr>
      <w:r w:rsidRPr="009C2361">
        <w:rPr>
          <w:rFonts w:asciiTheme="minorEastAsia" w:eastAsiaTheme="minorEastAsia" w:hAnsiTheme="minorEastAsia" w:hint="eastAsia"/>
          <w:sz w:val="24"/>
          <w:szCs w:val="24"/>
        </w:rPr>
        <w:t>202</w:t>
      </w:r>
      <w:r w:rsidRPr="009C2361">
        <w:rPr>
          <w:rFonts w:asciiTheme="minorEastAsia" w:eastAsiaTheme="minorEastAsia" w:hAnsiTheme="minorEastAsia"/>
          <w:sz w:val="24"/>
          <w:szCs w:val="24"/>
        </w:rPr>
        <w:t>2</w:t>
      </w:r>
      <w:r w:rsidRPr="009C2361">
        <w:rPr>
          <w:rFonts w:asciiTheme="minorEastAsia" w:eastAsiaTheme="minorEastAsia" w:hAnsiTheme="minorEastAsia" w:hint="eastAsia"/>
          <w:sz w:val="24"/>
          <w:szCs w:val="24"/>
        </w:rPr>
        <w:t>年</w:t>
      </w:r>
      <w:r w:rsidR="009C2361">
        <w:rPr>
          <w:rFonts w:asciiTheme="minorEastAsia" w:eastAsiaTheme="minorEastAsia" w:hAnsiTheme="minorEastAsia"/>
          <w:sz w:val="24"/>
          <w:szCs w:val="24"/>
        </w:rPr>
        <w:t>6</w:t>
      </w:r>
      <w:r w:rsidRPr="009C2361">
        <w:rPr>
          <w:rFonts w:asciiTheme="minorEastAsia" w:eastAsiaTheme="minorEastAsia" w:hAnsiTheme="minorEastAsia" w:hint="eastAsia"/>
          <w:sz w:val="24"/>
          <w:szCs w:val="24"/>
        </w:rPr>
        <w:t>月</w:t>
      </w:r>
      <w:r w:rsidR="007F2A58">
        <w:rPr>
          <w:rFonts w:asciiTheme="minorEastAsia" w:eastAsiaTheme="minorEastAsia" w:hAnsiTheme="minorEastAsia"/>
          <w:sz w:val="24"/>
          <w:szCs w:val="24"/>
        </w:rPr>
        <w:t>8</w:t>
      </w:r>
      <w:r w:rsidRPr="009C2361">
        <w:rPr>
          <w:rFonts w:asciiTheme="minorEastAsia" w:eastAsiaTheme="minorEastAsia" w:hAnsiTheme="minorEastAsia" w:hint="eastAsia"/>
          <w:sz w:val="24"/>
          <w:szCs w:val="24"/>
        </w:rPr>
        <w:t>日</w:t>
      </w:r>
    </w:p>
    <w:p w14:paraId="26E58D49" w14:textId="77777777" w:rsidR="00F8785C" w:rsidRPr="009C2361" w:rsidRDefault="00F8785C" w:rsidP="00055197">
      <w:pPr>
        <w:rPr>
          <w:rFonts w:asciiTheme="minorEastAsia" w:eastAsiaTheme="minorEastAsia" w:hAnsiTheme="minorEastAsia"/>
        </w:rPr>
      </w:pPr>
    </w:p>
    <w:sectPr w:rsidR="00F8785C" w:rsidRPr="009C2361">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21240" w16cex:dateUtc="2022-05-20T03:38:00Z"/>
  <w16cex:commentExtensible w16cex:durableId="26321241" w16cex:dateUtc="2022-05-20T0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81CFAE2" w16cid:durableId="26321240"/>
  <w16cid:commentId w16cid:paraId="43F48D86" w16cid:durableId="263212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235726" w14:textId="77777777" w:rsidR="00E94511" w:rsidRDefault="00E94511" w:rsidP="009C415D">
      <w:r>
        <w:separator/>
      </w:r>
    </w:p>
  </w:endnote>
  <w:endnote w:type="continuationSeparator" w:id="0">
    <w:p w14:paraId="78F17FF2" w14:textId="77777777" w:rsidR="00E94511" w:rsidRDefault="00E94511" w:rsidP="009C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C0F1A4" w14:textId="77777777" w:rsidR="00E94511" w:rsidRDefault="00E94511" w:rsidP="009C415D">
      <w:r>
        <w:separator/>
      </w:r>
    </w:p>
  </w:footnote>
  <w:footnote w:type="continuationSeparator" w:id="0">
    <w:p w14:paraId="1C0AB60B" w14:textId="77777777" w:rsidR="00E94511" w:rsidRDefault="00E94511" w:rsidP="009C41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1F6762F"/>
    <w:multiLevelType w:val="singleLevel"/>
    <w:tmpl w:val="91F6762F"/>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15D"/>
    <w:rsid w:val="000245F6"/>
    <w:rsid w:val="00027128"/>
    <w:rsid w:val="00055197"/>
    <w:rsid w:val="00064182"/>
    <w:rsid w:val="000739E1"/>
    <w:rsid w:val="0008554E"/>
    <w:rsid w:val="000D2DE3"/>
    <w:rsid w:val="000E3E81"/>
    <w:rsid w:val="000F3FB6"/>
    <w:rsid w:val="00126663"/>
    <w:rsid w:val="00147FCC"/>
    <w:rsid w:val="001533A5"/>
    <w:rsid w:val="00175F89"/>
    <w:rsid w:val="001B5D77"/>
    <w:rsid w:val="00207A55"/>
    <w:rsid w:val="00233241"/>
    <w:rsid w:val="00276F83"/>
    <w:rsid w:val="00331AEA"/>
    <w:rsid w:val="00350399"/>
    <w:rsid w:val="00381A22"/>
    <w:rsid w:val="003A00DA"/>
    <w:rsid w:val="00444095"/>
    <w:rsid w:val="00473949"/>
    <w:rsid w:val="00474EB3"/>
    <w:rsid w:val="00487575"/>
    <w:rsid w:val="00491E9C"/>
    <w:rsid w:val="00492F9A"/>
    <w:rsid w:val="00497307"/>
    <w:rsid w:val="004A4220"/>
    <w:rsid w:val="005051B6"/>
    <w:rsid w:val="005561E8"/>
    <w:rsid w:val="00561FDE"/>
    <w:rsid w:val="005A7AEB"/>
    <w:rsid w:val="00603907"/>
    <w:rsid w:val="0061286B"/>
    <w:rsid w:val="00616D31"/>
    <w:rsid w:val="006248BE"/>
    <w:rsid w:val="00653C6B"/>
    <w:rsid w:val="00653C9B"/>
    <w:rsid w:val="00706FC8"/>
    <w:rsid w:val="0073100D"/>
    <w:rsid w:val="00732E64"/>
    <w:rsid w:val="007C63FF"/>
    <w:rsid w:val="007D5AD9"/>
    <w:rsid w:val="007D5B9C"/>
    <w:rsid w:val="007F2A58"/>
    <w:rsid w:val="008124D8"/>
    <w:rsid w:val="00842A8F"/>
    <w:rsid w:val="008669EF"/>
    <w:rsid w:val="00885943"/>
    <w:rsid w:val="00924EF9"/>
    <w:rsid w:val="00954CD8"/>
    <w:rsid w:val="00963B83"/>
    <w:rsid w:val="00983FD5"/>
    <w:rsid w:val="009B2F12"/>
    <w:rsid w:val="009B6882"/>
    <w:rsid w:val="009C2361"/>
    <w:rsid w:val="009C29F3"/>
    <w:rsid w:val="009C415D"/>
    <w:rsid w:val="00A13327"/>
    <w:rsid w:val="00A638E4"/>
    <w:rsid w:val="00AD5894"/>
    <w:rsid w:val="00AE6A89"/>
    <w:rsid w:val="00B30524"/>
    <w:rsid w:val="00BB7529"/>
    <w:rsid w:val="00C5126C"/>
    <w:rsid w:val="00C62731"/>
    <w:rsid w:val="00D06BD6"/>
    <w:rsid w:val="00D30431"/>
    <w:rsid w:val="00D53425"/>
    <w:rsid w:val="00DD2B92"/>
    <w:rsid w:val="00DE3CD5"/>
    <w:rsid w:val="00E12612"/>
    <w:rsid w:val="00E20B77"/>
    <w:rsid w:val="00E32954"/>
    <w:rsid w:val="00E51E57"/>
    <w:rsid w:val="00E8649C"/>
    <w:rsid w:val="00E94511"/>
    <w:rsid w:val="00ED37A2"/>
    <w:rsid w:val="00EE608D"/>
    <w:rsid w:val="00F26ED8"/>
    <w:rsid w:val="00F8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7D2D8"/>
  <w15:docId w15:val="{D52AB260-CF29-D244-82C6-3295C3CB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C6B"/>
    <w:pPr>
      <w:widowControl w:val="0"/>
      <w:autoSpaceDE w:val="0"/>
      <w:autoSpaceDN w:val="0"/>
      <w:adjustRightInd w:val="0"/>
      <w:textAlignment w:val="baseline"/>
    </w:pPr>
    <w:rPr>
      <w:rFonts w:ascii="Times New Roman" w:eastAsia="宋体"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9C415D"/>
    <w:pPr>
      <w:widowControl/>
      <w:autoSpaceDE/>
      <w:autoSpaceDN/>
      <w:adjustRightInd/>
      <w:spacing w:before="100" w:beforeAutospacing="1" w:after="100" w:afterAutospacing="1" w:line="560" w:lineRule="exact"/>
      <w:ind w:firstLineChars="200" w:firstLine="200"/>
      <w:textAlignment w:val="auto"/>
    </w:pPr>
    <w:rPr>
      <w:rFonts w:ascii="宋体" w:hAnsi="宋体" w:cs="宋体"/>
      <w:color w:val="000000"/>
      <w:sz w:val="24"/>
      <w:szCs w:val="24"/>
    </w:rPr>
  </w:style>
  <w:style w:type="character" w:styleId="a4">
    <w:name w:val="annotation reference"/>
    <w:rsid w:val="009C415D"/>
    <w:rPr>
      <w:sz w:val="21"/>
      <w:szCs w:val="21"/>
    </w:rPr>
  </w:style>
  <w:style w:type="paragraph" w:styleId="a5">
    <w:name w:val="annotation text"/>
    <w:basedOn w:val="a"/>
    <w:link w:val="Char"/>
    <w:rsid w:val="009C415D"/>
  </w:style>
  <w:style w:type="character" w:customStyle="1" w:styleId="Char">
    <w:name w:val="批注文字 Char"/>
    <w:basedOn w:val="a0"/>
    <w:link w:val="a5"/>
    <w:rsid w:val="009C415D"/>
    <w:rPr>
      <w:rFonts w:ascii="Times New Roman" w:eastAsia="宋体" w:hAnsi="Times New Roman" w:cs="Times New Roman"/>
      <w:kern w:val="0"/>
      <w:sz w:val="20"/>
      <w:szCs w:val="20"/>
    </w:rPr>
  </w:style>
  <w:style w:type="paragraph" w:styleId="a6">
    <w:name w:val="footnote text"/>
    <w:basedOn w:val="a"/>
    <w:link w:val="Char0"/>
    <w:rsid w:val="009C415D"/>
    <w:pPr>
      <w:snapToGrid w:val="0"/>
    </w:pPr>
    <w:rPr>
      <w:sz w:val="18"/>
      <w:szCs w:val="18"/>
    </w:rPr>
  </w:style>
  <w:style w:type="character" w:customStyle="1" w:styleId="Char0">
    <w:name w:val="脚注文本 Char"/>
    <w:basedOn w:val="a0"/>
    <w:link w:val="a6"/>
    <w:rsid w:val="009C415D"/>
    <w:rPr>
      <w:rFonts w:ascii="Times New Roman" w:eastAsia="宋体" w:hAnsi="Times New Roman" w:cs="Times New Roman"/>
      <w:kern w:val="0"/>
      <w:sz w:val="18"/>
      <w:szCs w:val="18"/>
    </w:rPr>
  </w:style>
  <w:style w:type="character" w:styleId="a7">
    <w:name w:val="footnote reference"/>
    <w:rsid w:val="009C415D"/>
    <w:rPr>
      <w:vertAlign w:val="superscript"/>
    </w:rPr>
  </w:style>
  <w:style w:type="paragraph" w:styleId="a8">
    <w:name w:val="Balloon Text"/>
    <w:basedOn w:val="a"/>
    <w:link w:val="Char1"/>
    <w:uiPriority w:val="99"/>
    <w:semiHidden/>
    <w:unhideWhenUsed/>
    <w:rsid w:val="009C415D"/>
    <w:rPr>
      <w:sz w:val="18"/>
      <w:szCs w:val="18"/>
    </w:rPr>
  </w:style>
  <w:style w:type="character" w:customStyle="1" w:styleId="Char1">
    <w:name w:val="批注框文本 Char"/>
    <w:basedOn w:val="a0"/>
    <w:link w:val="a8"/>
    <w:uiPriority w:val="99"/>
    <w:semiHidden/>
    <w:rsid w:val="009C415D"/>
    <w:rPr>
      <w:rFonts w:ascii="Times New Roman" w:eastAsia="宋体" w:hAnsi="Times New Roman" w:cs="Times New Roman"/>
      <w:kern w:val="0"/>
      <w:sz w:val="18"/>
      <w:szCs w:val="18"/>
    </w:rPr>
  </w:style>
  <w:style w:type="paragraph" w:styleId="a9">
    <w:name w:val="header"/>
    <w:basedOn w:val="a"/>
    <w:link w:val="Char2"/>
    <w:uiPriority w:val="99"/>
    <w:unhideWhenUsed/>
    <w:rsid w:val="0061286B"/>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9"/>
    <w:uiPriority w:val="99"/>
    <w:rsid w:val="0061286B"/>
    <w:rPr>
      <w:rFonts w:ascii="Times New Roman" w:eastAsia="宋体" w:hAnsi="Times New Roman" w:cs="Times New Roman"/>
      <w:kern w:val="0"/>
      <w:sz w:val="18"/>
      <w:szCs w:val="18"/>
    </w:rPr>
  </w:style>
  <w:style w:type="paragraph" w:styleId="aa">
    <w:name w:val="footer"/>
    <w:basedOn w:val="a"/>
    <w:link w:val="Char3"/>
    <w:uiPriority w:val="99"/>
    <w:unhideWhenUsed/>
    <w:rsid w:val="0061286B"/>
    <w:pPr>
      <w:tabs>
        <w:tab w:val="center" w:pos="4153"/>
        <w:tab w:val="right" w:pos="8306"/>
      </w:tabs>
      <w:snapToGrid w:val="0"/>
    </w:pPr>
    <w:rPr>
      <w:sz w:val="18"/>
      <w:szCs w:val="18"/>
    </w:rPr>
  </w:style>
  <w:style w:type="character" w:customStyle="1" w:styleId="Char3">
    <w:name w:val="页脚 Char"/>
    <w:basedOn w:val="a0"/>
    <w:link w:val="aa"/>
    <w:uiPriority w:val="99"/>
    <w:rsid w:val="0061286B"/>
    <w:rPr>
      <w:rFonts w:ascii="Times New Roman" w:eastAsia="宋体" w:hAnsi="Times New Roman" w:cs="Times New Roman"/>
      <w:kern w:val="0"/>
      <w:sz w:val="18"/>
      <w:szCs w:val="18"/>
    </w:rPr>
  </w:style>
  <w:style w:type="paragraph" w:styleId="ab">
    <w:name w:val="annotation subject"/>
    <w:basedOn w:val="a5"/>
    <w:next w:val="a5"/>
    <w:link w:val="Char4"/>
    <w:uiPriority w:val="99"/>
    <w:semiHidden/>
    <w:unhideWhenUsed/>
    <w:rsid w:val="00561FDE"/>
    <w:rPr>
      <w:b/>
      <w:bCs/>
    </w:rPr>
  </w:style>
  <w:style w:type="character" w:customStyle="1" w:styleId="Char4">
    <w:name w:val="批注主题 Char"/>
    <w:basedOn w:val="Char"/>
    <w:link w:val="ab"/>
    <w:uiPriority w:val="99"/>
    <w:semiHidden/>
    <w:rsid w:val="00561FDE"/>
    <w:rPr>
      <w:rFonts w:ascii="Times New Roman" w:eastAsia="宋体" w:hAnsi="Times New Roman" w:cs="Times New Roman"/>
      <w:b/>
      <w:bCs/>
      <w:kern w:val="0"/>
      <w:sz w:val="20"/>
      <w:szCs w:val="20"/>
    </w:rPr>
  </w:style>
  <w:style w:type="paragraph" w:styleId="ac">
    <w:name w:val="Revision"/>
    <w:hidden/>
    <w:uiPriority w:val="99"/>
    <w:semiHidden/>
    <w:rsid w:val="00AD5894"/>
    <w:rPr>
      <w:rFonts w:ascii="Times New Roman" w:eastAsia="宋体"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070386">
      <w:bodyDiv w:val="1"/>
      <w:marLeft w:val="0"/>
      <w:marRight w:val="0"/>
      <w:marTop w:val="0"/>
      <w:marBottom w:val="0"/>
      <w:divBdr>
        <w:top w:val="none" w:sz="0" w:space="0" w:color="auto"/>
        <w:left w:val="none" w:sz="0" w:space="0" w:color="auto"/>
        <w:bottom w:val="none" w:sz="0" w:space="0" w:color="auto"/>
        <w:right w:val="none" w:sz="0" w:space="0" w:color="auto"/>
      </w:divBdr>
      <w:divsChild>
        <w:div w:id="2142990689">
          <w:marLeft w:val="0"/>
          <w:marRight w:val="0"/>
          <w:marTop w:val="0"/>
          <w:marBottom w:val="0"/>
          <w:divBdr>
            <w:top w:val="none" w:sz="0" w:space="0" w:color="auto"/>
            <w:left w:val="none" w:sz="0" w:space="0" w:color="auto"/>
            <w:bottom w:val="none" w:sz="0" w:space="0" w:color="auto"/>
            <w:right w:val="none" w:sz="0" w:space="0" w:color="auto"/>
          </w:divBdr>
        </w:div>
      </w:divsChild>
    </w:div>
    <w:div w:id="1018852357">
      <w:bodyDiv w:val="1"/>
      <w:marLeft w:val="0"/>
      <w:marRight w:val="0"/>
      <w:marTop w:val="0"/>
      <w:marBottom w:val="0"/>
      <w:divBdr>
        <w:top w:val="none" w:sz="0" w:space="0" w:color="auto"/>
        <w:left w:val="none" w:sz="0" w:space="0" w:color="auto"/>
        <w:bottom w:val="none" w:sz="0" w:space="0" w:color="auto"/>
        <w:right w:val="none" w:sz="0" w:space="0" w:color="auto"/>
      </w:divBdr>
    </w:div>
    <w:div w:id="189230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518</Words>
  <Characters>2958</Characters>
  <Application>Microsoft Office Word</Application>
  <DocSecurity>0</DocSecurity>
  <Lines>24</Lines>
  <Paragraphs>6</Paragraphs>
  <ScaleCrop>false</ScaleCrop>
  <Company>P R C</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Chen Wang</dc:creator>
  <cp:lastModifiedBy>陶人杰</cp:lastModifiedBy>
  <cp:revision>8</cp:revision>
  <dcterms:created xsi:type="dcterms:W3CDTF">2022-06-07T07:39:00Z</dcterms:created>
  <dcterms:modified xsi:type="dcterms:W3CDTF">2022-06-07T09:04:00Z</dcterms:modified>
</cp:coreProperties>
</file>