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28"/>
          <w:szCs w:val="28"/>
        </w:rPr>
      </w:pPr>
      <w:r>
        <w:rPr>
          <w:rFonts w:hint="eastAsia"/>
          <w:b/>
          <w:sz w:val="28"/>
          <w:szCs w:val="28"/>
        </w:rPr>
        <w:t>首创证券股份有限公司北京证券交易所投资</w:t>
      </w:r>
      <w:r>
        <w:rPr>
          <w:b/>
          <w:sz w:val="28"/>
          <w:szCs w:val="28"/>
        </w:rPr>
        <w:t>风险揭示书</w:t>
      </w:r>
    </w:p>
    <w:p>
      <w:pPr>
        <w:spacing w:line="360" w:lineRule="auto"/>
        <w:rPr>
          <w:rFonts w:cs="BFKPQN+·ÂËÎ_GB2312"/>
          <w:kern w:val="0"/>
          <w:sz w:val="28"/>
          <w:szCs w:val="28"/>
        </w:rPr>
      </w:pPr>
      <w:r>
        <w:rPr>
          <w:rFonts w:hint="eastAsia" w:cs="BFKPQN+·ÂËÎ_GB2312"/>
          <w:kern w:val="0"/>
          <w:sz w:val="28"/>
          <w:szCs w:val="28"/>
        </w:rPr>
        <w:t>尊敬的投资者：</w:t>
      </w:r>
    </w:p>
    <w:p>
      <w:pPr>
        <w:spacing w:line="360" w:lineRule="auto"/>
        <w:ind w:firstLine="560" w:firstLineChars="200"/>
        <w:rPr>
          <w:rFonts w:cs="BFKPQN+·ÂËÎ_GB2312"/>
          <w:kern w:val="0"/>
          <w:sz w:val="28"/>
          <w:szCs w:val="28"/>
        </w:rPr>
      </w:pPr>
      <w:r>
        <w:rPr>
          <w:rFonts w:hint="eastAsia" w:cs="BFKPQN+·ÂËÎ_GB2312"/>
          <w:kern w:val="0"/>
          <w:sz w:val="28"/>
          <w:szCs w:val="28"/>
        </w:rPr>
        <w:t>北京证券交易所（</w:t>
      </w:r>
      <w:r>
        <w:rPr>
          <w:rFonts w:cs="BFKPQN+·ÂËÎ_GB2312"/>
          <w:kern w:val="0"/>
          <w:sz w:val="28"/>
          <w:szCs w:val="28"/>
        </w:rPr>
        <w:t>以下简称</w:t>
      </w:r>
      <w:r>
        <w:rPr>
          <w:rFonts w:hint="eastAsia" w:cs="BFKPQN+·ÂËÎ_GB2312"/>
          <w:kern w:val="0"/>
          <w:sz w:val="28"/>
          <w:szCs w:val="28"/>
        </w:rPr>
        <w:t>北交所）主要服务创新型中小企业，有其特有的风险，为了使您更好地了解北交所投资的基本知识和相关风险，根据有关</w:t>
      </w:r>
      <w:r>
        <w:rPr>
          <w:rFonts w:cs="BFKPQN+·ÂËÎ_GB2312"/>
          <w:kern w:val="0"/>
          <w:sz w:val="28"/>
          <w:szCs w:val="28"/>
        </w:rPr>
        <w:t>法律、行政法规、部门规章、规范性文件（以下简称法律法规）</w:t>
      </w:r>
      <w:r>
        <w:rPr>
          <w:rFonts w:hint="eastAsia" w:cs="BFKPQN+·ÂËÎ_GB2312"/>
          <w:kern w:val="0"/>
          <w:sz w:val="28"/>
          <w:szCs w:val="28"/>
        </w:rPr>
        <w:t>及北交所业务规则的规定，本公司特向您进行北</w:t>
      </w:r>
      <w:r>
        <w:rPr>
          <w:rFonts w:cs="BFKPQN+·ÂËÎ_GB2312"/>
          <w:kern w:val="0"/>
          <w:sz w:val="28"/>
          <w:szCs w:val="28"/>
        </w:rPr>
        <w:t>交所交易投资</w:t>
      </w:r>
      <w:r>
        <w:rPr>
          <w:rFonts w:hint="eastAsia" w:cs="BFKPQN+·ÂËÎ_GB2312"/>
          <w:kern w:val="0"/>
          <w:sz w:val="28"/>
          <w:szCs w:val="28"/>
        </w:rPr>
        <w:t>相关</w:t>
      </w:r>
      <w:r>
        <w:rPr>
          <w:rFonts w:cs="BFKPQN+·ÂËÎ_GB2312"/>
          <w:kern w:val="0"/>
          <w:sz w:val="28"/>
          <w:szCs w:val="28"/>
        </w:rPr>
        <w:t>风险揭示</w:t>
      </w:r>
      <w:r>
        <w:rPr>
          <w:rFonts w:hint="eastAsia" w:cs="BFKPQN+·ÂËÎ_GB2312"/>
          <w:kern w:val="0"/>
          <w:sz w:val="28"/>
          <w:szCs w:val="28"/>
        </w:rPr>
        <w:t>。</w:t>
      </w:r>
    </w:p>
    <w:p>
      <w:pPr>
        <w:spacing w:line="360" w:lineRule="auto"/>
        <w:ind w:firstLine="560" w:firstLineChars="200"/>
        <w:rPr>
          <w:rFonts w:cs="BFKPQN+·ÂËÎ_GB2312"/>
          <w:kern w:val="0"/>
          <w:sz w:val="28"/>
          <w:szCs w:val="28"/>
        </w:rPr>
      </w:pPr>
      <w:r>
        <w:rPr>
          <w:rFonts w:cs="BFKPQN+·ÂËÎ_GB2312"/>
          <w:kern w:val="0"/>
          <w:sz w:val="28"/>
          <w:szCs w:val="28"/>
        </w:rPr>
        <w:t>本风险揭示书并不能揭示</w:t>
      </w:r>
      <w:r>
        <w:rPr>
          <w:rFonts w:hint="eastAsia" w:cs="BFKPQN+·ÂËÎ_GB2312"/>
          <w:kern w:val="0"/>
          <w:sz w:val="28"/>
          <w:szCs w:val="28"/>
        </w:rPr>
        <w:t>北交所</w:t>
      </w:r>
      <w:r>
        <w:rPr>
          <w:rFonts w:cs="BFKPQN+·ÂËÎ_GB2312"/>
          <w:kern w:val="0"/>
          <w:sz w:val="28"/>
          <w:szCs w:val="28"/>
        </w:rPr>
        <w:t>投资交易的全部风险，请您务必对此有清醒的认识，认真考虑是否参与北交所投资交易。当您决定参</w:t>
      </w:r>
      <w:bookmarkStart w:id="0" w:name="_GoBack"/>
      <w:r>
        <w:rPr>
          <w:rFonts w:cs="BFKPQN+·ÂËÎ_GB2312"/>
          <w:kern w:val="0"/>
          <w:sz w:val="28"/>
          <w:szCs w:val="28"/>
        </w:rPr>
        <w:t>与</w:t>
      </w:r>
      <w:r>
        <w:rPr>
          <w:rFonts w:hint="eastAsia" w:cs="BFKPQN+·ÂËÎ_GB2312"/>
          <w:kern w:val="0"/>
          <w:sz w:val="28"/>
          <w:szCs w:val="28"/>
        </w:rPr>
        <w:t>北交所投资</w:t>
      </w:r>
      <w:r>
        <w:rPr>
          <w:rFonts w:cs="BFKPQN+·ÂËÎ_GB2312"/>
          <w:kern w:val="0"/>
          <w:sz w:val="28"/>
          <w:szCs w:val="28"/>
        </w:rPr>
        <w:t>交易之前，请您务必认真阅读</w:t>
      </w:r>
      <w:r>
        <w:rPr>
          <w:rFonts w:hint="eastAsia" w:cs="BFKPQN+·ÂËÎ_GB2312"/>
          <w:kern w:val="0"/>
          <w:sz w:val="28"/>
          <w:szCs w:val="28"/>
        </w:rPr>
        <w:t>并了解以下风险：</w:t>
      </w:r>
    </w:p>
    <w:bookmarkEnd w:id="0"/>
    <w:p>
      <w:pPr>
        <w:spacing w:line="360" w:lineRule="auto"/>
        <w:rPr>
          <w:b/>
          <w:kern w:val="0"/>
          <w:sz w:val="28"/>
          <w:szCs w:val="28"/>
        </w:rPr>
      </w:pPr>
      <w:r>
        <w:rPr>
          <w:rFonts w:hint="eastAsia"/>
          <w:b/>
          <w:kern w:val="0"/>
          <w:sz w:val="28"/>
          <w:szCs w:val="28"/>
        </w:rPr>
        <w:t>【上市企业自身经营风险】</w:t>
      </w:r>
    </w:p>
    <w:p>
      <w:pPr>
        <w:spacing w:line="360" w:lineRule="auto"/>
        <w:ind w:firstLine="560" w:firstLineChars="200"/>
        <w:rPr>
          <w:rFonts w:cs="BFKPQN+·ÂËÎ_GB2312"/>
          <w:kern w:val="0"/>
          <w:sz w:val="28"/>
          <w:szCs w:val="28"/>
        </w:rPr>
      </w:pPr>
      <w:r>
        <w:rPr>
          <w:rFonts w:cs="BFKPQN+·ÂËÎ_GB2312"/>
          <w:kern w:val="0"/>
          <w:sz w:val="28"/>
          <w:szCs w:val="28"/>
        </w:rPr>
        <w:t>一、北交所主要服务创新型中小企业，企业多处于成长期，规模可能偏小，往往具有依赖核心技术人员和供应商、客户集中度高、应对外部冲击能力较弱等特点，企业上市后的持续创新能力、收入及盈利水平等仍具有较大不确定性。</w:t>
      </w:r>
    </w:p>
    <w:p>
      <w:pPr>
        <w:spacing w:line="360" w:lineRule="auto"/>
        <w:ind w:firstLine="560" w:firstLineChars="200"/>
        <w:rPr>
          <w:rFonts w:cs="BFKPQN+·ÂËÎ_GB2312"/>
          <w:kern w:val="0"/>
          <w:sz w:val="28"/>
          <w:szCs w:val="28"/>
        </w:rPr>
      </w:pPr>
      <w:r>
        <w:rPr>
          <w:rFonts w:cs="BFKPQN+·ÂËÎ_GB2312"/>
          <w:kern w:val="0"/>
          <w:sz w:val="28"/>
          <w:szCs w:val="28"/>
        </w:rPr>
        <w:t>二、北交所设置四套上市标准，其中允许未盈利企业上市。因此可能存在企业向不特定合格投资者公开发行股票并在北交所上市时尚未盈利、有累计未弥补亏损等情形，以及在上市后仍无法盈利、持续亏损、无法进行利润分配等情况。</w:t>
      </w:r>
    </w:p>
    <w:p>
      <w:pPr>
        <w:spacing w:line="360" w:lineRule="auto"/>
        <w:rPr>
          <w:b/>
          <w:kern w:val="0"/>
          <w:sz w:val="28"/>
          <w:szCs w:val="28"/>
        </w:rPr>
      </w:pPr>
      <w:r>
        <w:rPr>
          <w:rFonts w:hint="eastAsia"/>
          <w:b/>
          <w:kern w:val="0"/>
          <w:sz w:val="28"/>
          <w:szCs w:val="28"/>
        </w:rPr>
        <w:t>【上市规则差异化风险】</w:t>
      </w:r>
    </w:p>
    <w:p>
      <w:pPr>
        <w:spacing w:line="360" w:lineRule="auto"/>
        <w:ind w:firstLine="560" w:firstLineChars="200"/>
        <w:rPr>
          <w:rFonts w:cs="BFKPQN+·ÂËÎ_GB2312"/>
          <w:kern w:val="0"/>
          <w:sz w:val="28"/>
          <w:szCs w:val="28"/>
        </w:rPr>
      </w:pPr>
      <w:r>
        <w:rPr>
          <w:rFonts w:cs="BFKPQN+·ÂËÎ_GB2312"/>
          <w:kern w:val="0"/>
          <w:sz w:val="28"/>
          <w:szCs w:val="28"/>
        </w:rPr>
        <w:t>三、北交所新股发行价格、发行时点、发行规模、发行节奏等坚持市场化导向。新股发行可以采用定价、询价、竞价三种方式，由发行人和主承销商协商确定。采用询价方式的，询价对象限定为在中国证券业协会注册、符合中国证券业协会规定条件并已开通北交所交易权限的网下投资者，不符合规定条件、未注册的个人投资者无法直接参与发行定价。同时，因北交所上市企业多聚焦行业细分领域，业绩受外部环境影响大，可比公司较少，传统估值方法可能不适用，上市后可能存在股价波动的风险。</w:t>
      </w:r>
    </w:p>
    <w:p>
      <w:pPr>
        <w:spacing w:line="360" w:lineRule="auto"/>
        <w:ind w:firstLine="560" w:firstLineChars="200"/>
        <w:rPr>
          <w:rFonts w:cs="BFKPQN+·ÂËÎ_GB2312"/>
          <w:kern w:val="0"/>
          <w:sz w:val="28"/>
          <w:szCs w:val="28"/>
        </w:rPr>
      </w:pPr>
      <w:r>
        <w:rPr>
          <w:rFonts w:cs="BFKPQN+·ÂËÎ_GB2312"/>
          <w:kern w:val="0"/>
          <w:sz w:val="28"/>
          <w:szCs w:val="28"/>
        </w:rPr>
        <w:t>四、发行人发行承销过程中，出现预计发行后总市值无法满足招股文件所选上市标准的，将按规定中止发行。</w:t>
      </w:r>
    </w:p>
    <w:p>
      <w:pPr>
        <w:spacing w:line="360" w:lineRule="auto"/>
        <w:ind w:firstLine="560" w:firstLineChars="200"/>
        <w:rPr>
          <w:rFonts w:cs="BFKPQN+·ÂËÎ_GB2312"/>
          <w:kern w:val="0"/>
          <w:sz w:val="28"/>
          <w:szCs w:val="28"/>
        </w:rPr>
      </w:pPr>
      <w:r>
        <w:rPr>
          <w:rFonts w:cs="BFKPQN+·ÂËÎ_GB2312"/>
          <w:kern w:val="0"/>
          <w:sz w:val="28"/>
          <w:szCs w:val="28"/>
        </w:rPr>
        <w:t>五、</w:t>
      </w:r>
      <w:r>
        <w:rPr>
          <w:rFonts w:hint="eastAsia" w:cs="BFKPQN+·ÂËÎ_GB2312"/>
          <w:kern w:val="0"/>
          <w:sz w:val="28"/>
          <w:szCs w:val="28"/>
          <w:lang w:eastAsia="zh-CN"/>
        </w:rPr>
        <w:t>您</w:t>
      </w:r>
      <w:r>
        <w:rPr>
          <w:rFonts w:cs="BFKPQN+·ÂËÎ_GB2312"/>
          <w:kern w:val="0"/>
          <w:sz w:val="28"/>
          <w:szCs w:val="28"/>
        </w:rPr>
        <w:t>应关注北交所股票网上发行、回拨比例、申购单位、配售规则、投资风险特别公告发布等股票发行承销制度安排，在申购环节充分知悉相关风险。</w:t>
      </w:r>
    </w:p>
    <w:p>
      <w:pPr>
        <w:spacing w:line="360" w:lineRule="auto"/>
        <w:ind w:firstLine="560" w:firstLineChars="200"/>
        <w:rPr>
          <w:rFonts w:cs="BFKPQN+·ÂËÎ_GB2312"/>
          <w:kern w:val="0"/>
          <w:sz w:val="28"/>
          <w:szCs w:val="28"/>
        </w:rPr>
      </w:pPr>
      <w:r>
        <w:rPr>
          <w:rFonts w:cs="BFKPQN+·ÂËÎ_GB2312"/>
          <w:kern w:val="0"/>
          <w:sz w:val="28"/>
          <w:szCs w:val="28"/>
        </w:rPr>
        <w:t>六、公开发行股票并上市时，发行人和主承销商可以采用超额配售选择权，即存在超额配售选择权实施结束后，发行人增发股票的可能性。</w:t>
      </w:r>
    </w:p>
    <w:p>
      <w:pPr>
        <w:spacing w:line="360" w:lineRule="auto"/>
        <w:ind w:firstLine="560" w:firstLineChars="200"/>
        <w:rPr>
          <w:rFonts w:cs="BFKPQN+·ÂËÎ_GB2312"/>
          <w:kern w:val="0"/>
          <w:sz w:val="28"/>
          <w:szCs w:val="28"/>
        </w:rPr>
      </w:pPr>
      <w:r>
        <w:rPr>
          <w:rFonts w:cs="BFKPQN+·ÂËÎ_GB2312"/>
          <w:kern w:val="0"/>
          <w:sz w:val="28"/>
          <w:szCs w:val="28"/>
        </w:rPr>
        <w:t>七、</w:t>
      </w:r>
      <w:r>
        <w:rPr>
          <w:rFonts w:hint="eastAsia" w:cs="BFKPQN+·ÂËÎ_GB2312"/>
          <w:kern w:val="0"/>
          <w:sz w:val="28"/>
          <w:szCs w:val="28"/>
          <w:lang w:eastAsia="zh-CN"/>
        </w:rPr>
        <w:t>您</w:t>
      </w:r>
      <w:r>
        <w:rPr>
          <w:rFonts w:cs="BFKPQN+·ÂËÎ_GB2312"/>
          <w:kern w:val="0"/>
          <w:sz w:val="28"/>
          <w:szCs w:val="28"/>
        </w:rPr>
        <w:t>应关注北交所股票限售及减持的相关制度安排，充分知悉相关投资风险。</w:t>
      </w:r>
    </w:p>
    <w:p>
      <w:pPr>
        <w:spacing w:line="360" w:lineRule="auto"/>
        <w:rPr>
          <w:b/>
          <w:kern w:val="0"/>
          <w:sz w:val="28"/>
          <w:szCs w:val="28"/>
        </w:rPr>
      </w:pPr>
      <w:r>
        <w:rPr>
          <w:rFonts w:hint="eastAsia"/>
          <w:b/>
          <w:kern w:val="0"/>
          <w:sz w:val="28"/>
          <w:szCs w:val="28"/>
        </w:rPr>
        <w:t>【退市风险】</w:t>
      </w:r>
    </w:p>
    <w:p>
      <w:pPr>
        <w:spacing w:line="360" w:lineRule="auto"/>
        <w:ind w:firstLine="560" w:firstLineChars="200"/>
        <w:rPr>
          <w:rFonts w:cs="BFKPQN+·ÂËÎ_GB2312"/>
          <w:kern w:val="0"/>
          <w:sz w:val="28"/>
          <w:szCs w:val="28"/>
        </w:rPr>
      </w:pPr>
      <w:r>
        <w:rPr>
          <w:rFonts w:cs="BFKPQN+·ÂËÎ_GB2312"/>
          <w:kern w:val="0"/>
          <w:sz w:val="28"/>
          <w:szCs w:val="28"/>
        </w:rPr>
        <w:t>八、北交所股票可能因触及退市情形被终止上市。因触及交易类情形被终止上市的北交所股票，不进入退市整理期；因触及财务类、规范类及重大违法类情形被终止上市的，进入退市整理期交易15个交易日，且首个交易日不设价格涨跌幅限制。</w:t>
      </w:r>
      <w:r>
        <w:rPr>
          <w:rFonts w:hint="eastAsia" w:cs="BFKPQN+·ÂËÎ_GB2312"/>
          <w:kern w:val="0"/>
          <w:sz w:val="28"/>
          <w:szCs w:val="28"/>
          <w:lang w:eastAsia="zh-CN"/>
        </w:rPr>
        <w:t>您</w:t>
      </w:r>
      <w:r>
        <w:rPr>
          <w:rFonts w:cs="BFKPQN+·ÂËÎ_GB2312"/>
          <w:kern w:val="0"/>
          <w:sz w:val="28"/>
          <w:szCs w:val="28"/>
        </w:rPr>
        <w:t>应当充分了解北交所退市制度及相关规定，密切关注北交所股票退市相关风险，及时从符合《证券法》规定的信息披露平台获取相关信息。</w:t>
      </w:r>
    </w:p>
    <w:p>
      <w:pPr>
        <w:spacing w:line="360" w:lineRule="auto"/>
        <w:rPr>
          <w:b/>
          <w:kern w:val="0"/>
          <w:sz w:val="28"/>
          <w:szCs w:val="28"/>
        </w:rPr>
      </w:pPr>
      <w:r>
        <w:rPr>
          <w:rFonts w:hint="eastAsia"/>
          <w:b/>
          <w:kern w:val="0"/>
          <w:sz w:val="28"/>
          <w:szCs w:val="28"/>
        </w:rPr>
        <w:t>【表决权差异化风险】</w:t>
      </w:r>
    </w:p>
    <w:p>
      <w:pPr>
        <w:spacing w:line="360" w:lineRule="auto"/>
        <w:ind w:firstLine="560" w:firstLineChars="200"/>
        <w:rPr>
          <w:rFonts w:cs="BFKPQN+·ÂËÎ_GB2312"/>
          <w:kern w:val="0"/>
          <w:sz w:val="28"/>
          <w:szCs w:val="28"/>
        </w:rPr>
      </w:pPr>
      <w:r>
        <w:rPr>
          <w:rFonts w:cs="BFKPQN+·ÂËÎ_GB2312"/>
          <w:kern w:val="0"/>
          <w:sz w:val="28"/>
          <w:szCs w:val="28"/>
        </w:rPr>
        <w:t>九、北交所允许上市公司存在表决权差异安排。根据此项安排，上市公司可能存在控制权相对集中，以及因每一特别表决权股份拥有的表决权数量大于每一普通股份拥有的表决权数量等情形，而使普通投资者的表决权利及对公司日常经营等事务的影响力受到限制。出现北交所上市规则及上市公司章程规定的情形时，特别表决权股份将按1:1的比例转换为普通股份，股份转换自相关情形发生时生效，并可能与相关股份转换登记时点存在差异。</w:t>
      </w:r>
      <w:r>
        <w:rPr>
          <w:rFonts w:hint="eastAsia" w:cs="BFKPQN+·ÂËÎ_GB2312"/>
          <w:kern w:val="0"/>
          <w:sz w:val="28"/>
          <w:szCs w:val="28"/>
          <w:lang w:eastAsia="zh-CN"/>
        </w:rPr>
        <w:t>您</w:t>
      </w:r>
      <w:r>
        <w:rPr>
          <w:rFonts w:cs="BFKPQN+·ÂËÎ_GB2312"/>
          <w:kern w:val="0"/>
          <w:sz w:val="28"/>
          <w:szCs w:val="28"/>
        </w:rPr>
        <w:t>需及时关注上市公司相关公告，以了解特别表决权股份变动事宜。</w:t>
      </w:r>
    </w:p>
    <w:p>
      <w:pPr>
        <w:spacing w:line="360" w:lineRule="auto"/>
        <w:rPr>
          <w:b/>
          <w:kern w:val="0"/>
          <w:sz w:val="28"/>
          <w:szCs w:val="28"/>
        </w:rPr>
      </w:pPr>
      <w:r>
        <w:rPr>
          <w:rFonts w:hint="eastAsia"/>
          <w:b/>
          <w:kern w:val="0"/>
          <w:sz w:val="28"/>
          <w:szCs w:val="28"/>
        </w:rPr>
        <w:t>【上市交易差异化风险】</w:t>
      </w:r>
    </w:p>
    <w:p>
      <w:pPr>
        <w:spacing w:line="360" w:lineRule="auto"/>
        <w:ind w:firstLine="560" w:firstLineChars="200"/>
        <w:rPr>
          <w:rFonts w:cs="BFKPQN+·ÂËÎ_GB2312"/>
          <w:kern w:val="0"/>
          <w:sz w:val="28"/>
          <w:szCs w:val="28"/>
        </w:rPr>
      </w:pPr>
      <w:r>
        <w:rPr>
          <w:rFonts w:cs="BFKPQN+·ÂËÎ_GB2312"/>
          <w:kern w:val="0"/>
          <w:sz w:val="28"/>
          <w:szCs w:val="28"/>
        </w:rPr>
        <w:t>十、北交所股票上市首日不设涨跌幅限制，其后涨跌幅限制为30%，</w:t>
      </w:r>
      <w:r>
        <w:rPr>
          <w:rFonts w:hint="eastAsia" w:cs="BFKPQN+·ÂËÎ_GB2312"/>
          <w:kern w:val="0"/>
          <w:sz w:val="28"/>
          <w:szCs w:val="28"/>
          <w:lang w:eastAsia="zh-CN"/>
        </w:rPr>
        <w:t>您</w:t>
      </w:r>
      <w:r>
        <w:rPr>
          <w:rFonts w:cs="BFKPQN+·ÂËÎ_GB2312"/>
          <w:kern w:val="0"/>
          <w:sz w:val="28"/>
          <w:szCs w:val="28"/>
        </w:rPr>
        <w:t>应当关注可能产生的股价波动风险。</w:t>
      </w:r>
    </w:p>
    <w:p>
      <w:pPr>
        <w:spacing w:line="360" w:lineRule="auto"/>
        <w:ind w:firstLine="560" w:firstLineChars="200"/>
        <w:rPr>
          <w:rFonts w:cs="BFKPQN+·ÂËÎ_GB2312"/>
          <w:kern w:val="0"/>
          <w:sz w:val="28"/>
          <w:szCs w:val="28"/>
        </w:rPr>
      </w:pPr>
      <w:r>
        <w:rPr>
          <w:rFonts w:cs="BFKPQN+·ÂËÎ_GB2312"/>
          <w:kern w:val="0"/>
          <w:sz w:val="28"/>
          <w:szCs w:val="28"/>
        </w:rPr>
        <w:t>十一、</w:t>
      </w:r>
      <w:r>
        <w:rPr>
          <w:rFonts w:hint="eastAsia" w:cs="BFKPQN+·ÂËÎ_GB2312"/>
          <w:kern w:val="0"/>
          <w:sz w:val="28"/>
          <w:szCs w:val="28"/>
          <w:lang w:eastAsia="zh-CN"/>
        </w:rPr>
        <w:t>您</w:t>
      </w:r>
      <w:r>
        <w:rPr>
          <w:rFonts w:cs="BFKPQN+·ÂËÎ_GB2312"/>
          <w:kern w:val="0"/>
          <w:sz w:val="28"/>
          <w:szCs w:val="28"/>
        </w:rPr>
        <w:t>应关注北交所股票交易的单笔申报数量、最小价格变动单位、有效申报价格范围等基本交易规则，避免产生无效申报。</w:t>
      </w:r>
    </w:p>
    <w:p>
      <w:pPr>
        <w:spacing w:line="360" w:lineRule="auto"/>
        <w:ind w:firstLine="560" w:firstLineChars="200"/>
        <w:rPr>
          <w:rFonts w:cs="BFKPQN+·ÂËÎ_GB2312"/>
          <w:kern w:val="0"/>
          <w:sz w:val="28"/>
          <w:szCs w:val="28"/>
        </w:rPr>
      </w:pPr>
      <w:r>
        <w:rPr>
          <w:rFonts w:cs="BFKPQN+·ÂËÎ_GB2312"/>
          <w:kern w:val="0"/>
          <w:sz w:val="28"/>
          <w:szCs w:val="28"/>
        </w:rPr>
        <w:t>十二、北交所股票交易具有盘中临时停牌情形，设有异常波动股票核查制度，</w:t>
      </w:r>
      <w:r>
        <w:rPr>
          <w:rFonts w:hint="eastAsia" w:cs="BFKPQN+·ÂËÎ_GB2312"/>
          <w:kern w:val="0"/>
          <w:sz w:val="28"/>
          <w:szCs w:val="28"/>
          <w:lang w:eastAsia="zh-CN"/>
        </w:rPr>
        <w:t>您</w:t>
      </w:r>
      <w:r>
        <w:rPr>
          <w:rFonts w:cs="BFKPQN+·ÂËÎ_GB2312"/>
          <w:kern w:val="0"/>
          <w:sz w:val="28"/>
          <w:szCs w:val="28"/>
        </w:rPr>
        <w:t>应当关注与此相关的风险。</w:t>
      </w:r>
    </w:p>
    <w:p>
      <w:pPr>
        <w:spacing w:line="360" w:lineRule="auto"/>
        <w:rPr>
          <w:b/>
          <w:kern w:val="0"/>
          <w:sz w:val="28"/>
          <w:szCs w:val="28"/>
        </w:rPr>
      </w:pPr>
      <w:r>
        <w:rPr>
          <w:rFonts w:hint="eastAsia"/>
          <w:b/>
          <w:kern w:val="0"/>
          <w:sz w:val="28"/>
          <w:szCs w:val="28"/>
        </w:rPr>
        <w:t>【</w:t>
      </w:r>
      <w:r>
        <w:rPr>
          <w:rFonts w:hint="eastAsia" w:cs="EIFMCN+·ÂËÎ_GB2312"/>
          <w:b/>
          <w:spacing w:val="9"/>
          <w:kern w:val="0"/>
          <w:sz w:val="28"/>
          <w:szCs w:val="28"/>
        </w:rPr>
        <w:t>其他</w:t>
      </w:r>
      <w:r>
        <w:rPr>
          <w:rFonts w:hint="eastAsia"/>
          <w:b/>
          <w:kern w:val="0"/>
          <w:sz w:val="28"/>
          <w:szCs w:val="28"/>
        </w:rPr>
        <w:t>】</w:t>
      </w:r>
    </w:p>
    <w:p>
      <w:pPr>
        <w:numPr>
          <w:ilvl w:val="0"/>
          <w:numId w:val="1"/>
        </w:numPr>
        <w:spacing w:line="360" w:lineRule="auto"/>
        <w:ind w:firstLine="560" w:firstLineChars="200"/>
        <w:rPr>
          <w:rFonts w:cs="BFKPQN+·ÂËÎ_GB2312"/>
          <w:kern w:val="0"/>
          <w:sz w:val="28"/>
          <w:szCs w:val="28"/>
        </w:rPr>
      </w:pPr>
      <w:r>
        <w:rPr>
          <w:rFonts w:cs="BFKPQN+·ÂËÎ_GB2312"/>
          <w:kern w:val="0"/>
          <w:sz w:val="28"/>
          <w:szCs w:val="28"/>
        </w:rPr>
        <w:t>北交所证券相关法律、行政法规、部门规章、规范性文件和交易所业务规则，可能根据公开征求意见结果和市场情况进行修改，或者由相关部门制定新的法律法规和业务规则，</w:t>
      </w:r>
      <w:r>
        <w:rPr>
          <w:rFonts w:hint="eastAsia" w:cs="BFKPQN+·ÂËÎ_GB2312"/>
          <w:kern w:val="0"/>
          <w:sz w:val="28"/>
          <w:szCs w:val="28"/>
          <w:lang w:eastAsia="zh-CN"/>
        </w:rPr>
        <w:t>您</w:t>
      </w:r>
      <w:r>
        <w:rPr>
          <w:rFonts w:cs="BFKPQN+·ÂËÎ_GB2312"/>
          <w:kern w:val="0"/>
          <w:sz w:val="28"/>
          <w:szCs w:val="28"/>
        </w:rPr>
        <w:t>应当及时予以关注和了解。</w:t>
      </w:r>
    </w:p>
    <w:p>
      <w:pPr>
        <w:numPr>
          <w:ilvl w:val="0"/>
          <w:numId w:val="1"/>
        </w:numPr>
        <w:spacing w:line="360" w:lineRule="auto"/>
        <w:ind w:firstLine="560" w:firstLineChars="200"/>
        <w:rPr>
          <w:rFonts w:cs="BFKPQN+·ÂËÎ_GB2312"/>
          <w:kern w:val="0"/>
          <w:sz w:val="28"/>
          <w:szCs w:val="28"/>
        </w:rPr>
      </w:pPr>
      <w:r>
        <w:rPr>
          <w:rFonts w:hint="eastAsia" w:cs="BFKPQN+·ÂËÎ_GB2312"/>
          <w:kern w:val="0"/>
          <w:sz w:val="28"/>
          <w:szCs w:val="28"/>
        </w:rPr>
        <w:t>根据交易所及中国证券登记结算有限公司要求，</w:t>
      </w:r>
      <w:r>
        <w:rPr>
          <w:rFonts w:cs="BFKPQN+·ÂËÎ_GB2312"/>
          <w:kern w:val="0"/>
          <w:sz w:val="28"/>
          <w:szCs w:val="28"/>
        </w:rPr>
        <w:t>北交所</w:t>
      </w:r>
      <w:r>
        <w:rPr>
          <w:rFonts w:hint="eastAsia" w:cs="BFKPQN+·ÂËÎ_GB2312"/>
          <w:kern w:val="0"/>
          <w:sz w:val="28"/>
          <w:szCs w:val="28"/>
        </w:rPr>
        <w:t>股票交易佣金上限为成交金额的3‰，起点金额为5元，双向收取，上述收费标准将根据交易所及中国证券登记结算有限公司收费调整情况进行相应调整。具体实际佣金以最终收费为准，</w:t>
      </w:r>
      <w:r>
        <w:rPr>
          <w:rFonts w:hint="eastAsia" w:cs="BFKPQN+·ÂËÎ_GB2312"/>
          <w:kern w:val="0"/>
          <w:sz w:val="28"/>
          <w:szCs w:val="28"/>
          <w:lang w:eastAsia="zh-CN"/>
        </w:rPr>
        <w:t>您</w:t>
      </w:r>
      <w:r>
        <w:rPr>
          <w:rFonts w:hint="eastAsia" w:cs="BFKPQN+·ÂËÎ_GB2312"/>
          <w:kern w:val="0"/>
          <w:sz w:val="28"/>
          <w:szCs w:val="28"/>
        </w:rPr>
        <w:t>可到我司营业场所或拨打所属营业部电话了解佣金收取标准。</w:t>
      </w:r>
    </w:p>
    <w:p>
      <w:pPr>
        <w:spacing w:line="360" w:lineRule="auto"/>
        <w:rPr>
          <w:kern w:val="0"/>
          <w:sz w:val="28"/>
          <w:szCs w:val="28"/>
        </w:rPr>
      </w:pPr>
    </w:p>
    <w:p>
      <w:pPr>
        <w:autoSpaceDE w:val="0"/>
        <w:autoSpaceDN w:val="0"/>
        <w:spacing w:line="360" w:lineRule="auto"/>
        <w:ind w:firstLine="562" w:firstLineChars="200"/>
        <w:rPr>
          <w:rFonts w:ascii="宋体" w:hAnsi="宋体" w:eastAsia="宋体"/>
          <w:b/>
          <w:color w:val="auto"/>
          <w:sz w:val="28"/>
          <w:szCs w:val="28"/>
        </w:rPr>
      </w:pPr>
      <w:r>
        <w:rPr>
          <w:rFonts w:hint="eastAsia" w:ascii="宋体" w:hAnsi="宋体" w:eastAsia="宋体"/>
          <w:b/>
          <w:color w:val="auto"/>
          <w:sz w:val="28"/>
          <w:szCs w:val="28"/>
        </w:rPr>
        <w:t>本风险揭示书的揭示事项仅为列举性质，未能详尽列示股票交易的全部投资风险和可能导致投资损失的所有因素</w:t>
      </w:r>
      <w:r>
        <w:rPr>
          <w:rFonts w:hint="eastAsia" w:ascii="宋体" w:hAnsi="宋体" w:eastAsia="宋体"/>
          <w:b/>
          <w:color w:val="auto"/>
          <w:sz w:val="28"/>
          <w:szCs w:val="28"/>
          <w:lang w:eastAsia="zh-CN"/>
        </w:rPr>
        <w:t>，</w:t>
      </w:r>
      <w:r>
        <w:rPr>
          <w:rFonts w:hint="eastAsia" w:ascii="宋体" w:hAnsi="宋体" w:eastAsia="宋体"/>
          <w:b/>
          <w:color w:val="auto"/>
          <w:sz w:val="28"/>
          <w:szCs w:val="28"/>
        </w:rPr>
        <w:t>且未来有关法律法规和业务规则修订时可能不会要求</w:t>
      </w:r>
      <w:r>
        <w:rPr>
          <w:rFonts w:hint="eastAsia" w:ascii="宋体" w:hAnsi="宋体" w:eastAsia="宋体"/>
          <w:b/>
          <w:color w:val="auto"/>
          <w:sz w:val="28"/>
          <w:szCs w:val="28"/>
          <w:lang w:val="en-US" w:eastAsia="zh-CN"/>
        </w:rPr>
        <w:t>您</w:t>
      </w:r>
      <w:r>
        <w:rPr>
          <w:rFonts w:hint="eastAsia" w:ascii="宋体" w:hAnsi="宋体" w:eastAsia="宋体"/>
          <w:b/>
          <w:color w:val="auto"/>
          <w:sz w:val="28"/>
          <w:szCs w:val="28"/>
        </w:rPr>
        <w:t>重新签署</w:t>
      </w:r>
      <w:r>
        <w:rPr>
          <w:rFonts w:hint="eastAsia" w:ascii="宋体" w:hAnsi="宋体" w:eastAsia="宋体"/>
          <w:b/>
          <w:color w:val="auto"/>
          <w:sz w:val="28"/>
          <w:szCs w:val="28"/>
          <w:lang w:val="en-US" w:eastAsia="zh-CN"/>
        </w:rPr>
        <w:t>本</w:t>
      </w:r>
      <w:r>
        <w:rPr>
          <w:rFonts w:hint="eastAsia" w:ascii="宋体" w:hAnsi="宋体" w:eastAsia="宋体"/>
          <w:b/>
          <w:color w:val="auto"/>
          <w:sz w:val="28"/>
          <w:szCs w:val="28"/>
        </w:rPr>
        <w:t>《风险揭示书》。您在参与此项业务前，请务必对此有清醒的认识。</w:t>
      </w:r>
      <w:r>
        <w:rPr>
          <w:rFonts w:hint="eastAsia" w:ascii="宋体" w:hAnsi="宋体" w:eastAsia="宋体"/>
          <w:b/>
          <w:color w:val="auto"/>
          <w:sz w:val="28"/>
          <w:szCs w:val="28"/>
          <w:lang w:eastAsia="zh-CN"/>
        </w:rPr>
        <w:t>您</w:t>
      </w:r>
      <w:r>
        <w:rPr>
          <w:rFonts w:ascii="宋体" w:hAnsi="宋体" w:eastAsia="宋体"/>
          <w:b/>
          <w:color w:val="auto"/>
          <w:sz w:val="28"/>
          <w:szCs w:val="28"/>
        </w:rPr>
        <w:t>在参与</w:t>
      </w:r>
      <w:r>
        <w:rPr>
          <w:rFonts w:hint="eastAsia" w:ascii="宋体" w:hAnsi="宋体" w:eastAsia="宋体"/>
          <w:b/>
          <w:color w:val="auto"/>
          <w:sz w:val="28"/>
          <w:szCs w:val="28"/>
        </w:rPr>
        <w:t>北交所</w:t>
      </w:r>
      <w:r>
        <w:rPr>
          <w:rFonts w:ascii="宋体" w:hAnsi="宋体" w:eastAsia="宋体"/>
          <w:b/>
          <w:color w:val="auto"/>
          <w:sz w:val="28"/>
          <w:szCs w:val="28"/>
        </w:rPr>
        <w:t>股票交易前，应认真阅读</w:t>
      </w:r>
      <w:r>
        <w:rPr>
          <w:rFonts w:hint="eastAsia" w:ascii="宋体" w:hAnsi="宋体" w:eastAsia="宋体"/>
          <w:b/>
          <w:color w:val="auto"/>
          <w:sz w:val="28"/>
          <w:szCs w:val="28"/>
        </w:rPr>
        <w:t>信息披露公告、业务协议、产品说明书等法律文件，熟悉</w:t>
      </w:r>
      <w:r>
        <w:rPr>
          <w:rFonts w:ascii="宋体" w:hAnsi="宋体" w:eastAsia="宋体"/>
          <w:b/>
          <w:color w:val="auto"/>
          <w:sz w:val="28"/>
          <w:szCs w:val="28"/>
        </w:rPr>
        <w:t>股票交易相关规则、合同及风险揭示书等文件，了解和掌握股票交易所特有的规则，确信自身已做好足够的风险评估与财务安排</w:t>
      </w:r>
      <w:r>
        <w:rPr>
          <w:rFonts w:hint="eastAsia" w:ascii="宋体" w:hAnsi="宋体" w:eastAsia="宋体"/>
          <w:b/>
          <w:color w:val="auto"/>
          <w:sz w:val="28"/>
          <w:szCs w:val="28"/>
        </w:rPr>
        <w:t>。我们诚挚地建议您，从风险承受能力、风险认知能力、投资目标、心理和生理承受能力等自身实际情况出发，审慎参与交易，合理配置金融资产。</w:t>
      </w:r>
    </w:p>
    <w:p>
      <w:pPr>
        <w:autoSpaceDE w:val="0"/>
        <w:autoSpaceDN w:val="0"/>
        <w:spacing w:line="360" w:lineRule="auto"/>
        <w:ind w:firstLine="562" w:firstLineChars="200"/>
        <w:rPr>
          <w:rFonts w:hint="eastAsia" w:ascii="宋体" w:hAnsi="宋体" w:eastAsia="宋体"/>
          <w:b/>
          <w:color w:val="auto"/>
          <w:sz w:val="28"/>
          <w:szCs w:val="28"/>
        </w:rPr>
      </w:pPr>
      <w:r>
        <w:rPr>
          <w:rFonts w:hint="eastAsia" w:ascii="宋体" w:hAnsi="宋体" w:eastAsia="宋体"/>
          <w:b/>
          <w:color w:val="auto"/>
          <w:sz w:val="28"/>
          <w:szCs w:val="28"/>
        </w:rPr>
        <w:t>本人承诺：不进行内幕交易；不操纵市场价格；不以虚假报价或其他违规行为扰乱正常的股票交易秩序，不误导他人的投资决策，将自觉遵守法律法规、证券交易所和首创证券相关业务规则的规定，合法合规参与证券交易，并承诺不参与任何形式的非法证券活动。</w:t>
      </w:r>
    </w:p>
    <w:p>
      <w:pPr>
        <w:autoSpaceDE w:val="0"/>
        <w:autoSpaceDN w:val="0"/>
        <w:spacing w:line="360" w:lineRule="auto"/>
        <w:ind w:firstLine="562" w:firstLineChars="200"/>
        <w:rPr>
          <w:rFonts w:hint="eastAsia" w:ascii="宋体" w:hAnsi="宋体" w:eastAsia="宋体"/>
          <w:b/>
          <w:color w:val="auto"/>
          <w:sz w:val="28"/>
          <w:szCs w:val="28"/>
        </w:rPr>
      </w:pPr>
      <w:r>
        <w:rPr>
          <w:rFonts w:hint="eastAsia" w:ascii="宋体" w:hAnsi="宋体" w:eastAsia="宋体"/>
          <w:b/>
          <w:color w:val="auto"/>
          <w:sz w:val="28"/>
          <w:szCs w:val="28"/>
        </w:rPr>
        <w:t>以下内容由已开通科创板权限现申请开通北交所权限的投资者确认：</w:t>
      </w:r>
    </w:p>
    <w:p>
      <w:pPr>
        <w:autoSpaceDE w:val="0"/>
        <w:autoSpaceDN w:val="0"/>
        <w:spacing w:line="360" w:lineRule="auto"/>
        <w:ind w:firstLine="562" w:firstLineChars="200"/>
        <w:rPr>
          <w:rFonts w:hint="eastAsia" w:ascii="宋体" w:hAnsi="宋体" w:eastAsia="宋体"/>
          <w:b/>
          <w:color w:val="auto"/>
          <w:sz w:val="28"/>
          <w:szCs w:val="28"/>
        </w:rPr>
      </w:pPr>
      <w:r>
        <w:rPr>
          <w:rFonts w:hint="eastAsia" w:ascii="宋体" w:hAnsi="宋体" w:eastAsia="宋体"/>
          <w:b/>
          <w:color w:val="auto"/>
          <w:sz w:val="28"/>
          <w:szCs w:val="28"/>
        </w:rPr>
        <w:t>根据《北京证券交易所投资者适当性管理办法》第五条的规定，个人投资者参与北交所市场股票交易的，应当符合下列条件：一是申请权限开通前20个交易日证券账户和资金账户内的资产日均不低于人民币50万元（不包括该投资者通过融资融券融入的资金和证券）；二是参与证券交易24个月以上。已开通科创板权限投资者申请开通北交所权限时，无需符合上述条件。本人知悉可能存在不满足“申请权限开通前20个交易日证券账户和资金账户内的资产日均不低于人民币50万元”的情况，本人确认已阅读并理解北交所市场相关规则及上述风险揭示书的内容，具有相应的风险承受能力，自愿参与北交所市场，并愿意承担相关的各种风险。</w:t>
      </w:r>
    </w:p>
    <w:p>
      <w:pPr>
        <w:autoSpaceDE w:val="0"/>
        <w:autoSpaceDN w:val="0"/>
        <w:spacing w:line="360" w:lineRule="auto"/>
        <w:ind w:firstLine="562" w:firstLineChars="200"/>
        <w:rPr>
          <w:rFonts w:ascii="宋体" w:hAnsi="宋体" w:eastAsia="宋体"/>
          <w:b/>
          <w:color w:val="auto"/>
          <w:sz w:val="28"/>
          <w:szCs w:val="28"/>
        </w:rPr>
      </w:pPr>
      <w:r>
        <w:rPr>
          <w:rFonts w:ascii="宋体" w:hAnsi="宋体" w:eastAsia="宋体"/>
          <w:b/>
          <w:color w:val="auto"/>
          <w:sz w:val="28"/>
          <w:szCs w:val="28"/>
        </w:rPr>
        <w:t>特别声明：</w:t>
      </w:r>
      <w:r>
        <w:rPr>
          <w:rFonts w:hint="eastAsia" w:ascii="宋体" w:hAnsi="宋体" w:eastAsia="宋体"/>
          <w:b/>
          <w:color w:val="auto"/>
          <w:sz w:val="28"/>
          <w:szCs w:val="28"/>
        </w:rPr>
        <w:t>投资者</w:t>
      </w:r>
      <w:r>
        <w:rPr>
          <w:rFonts w:ascii="宋体" w:hAnsi="宋体" w:eastAsia="宋体"/>
          <w:b/>
          <w:color w:val="auto"/>
          <w:sz w:val="28"/>
          <w:szCs w:val="28"/>
        </w:rPr>
        <w:t>通过电子方式签署本风险揭示书的，</w:t>
      </w:r>
      <w:r>
        <w:rPr>
          <w:rFonts w:hint="eastAsia" w:ascii="宋体" w:hAnsi="宋体" w:eastAsia="宋体"/>
          <w:b/>
          <w:color w:val="auto"/>
          <w:sz w:val="28"/>
          <w:szCs w:val="28"/>
        </w:rPr>
        <w:t>投资者</w:t>
      </w:r>
      <w:r>
        <w:rPr>
          <w:rFonts w:ascii="宋体" w:hAnsi="宋体" w:eastAsia="宋体"/>
          <w:b/>
          <w:color w:val="auto"/>
          <w:sz w:val="28"/>
          <w:szCs w:val="28"/>
        </w:rPr>
        <w:t>电子签署方式与在纸质风险揭示书上手写签名或盖章具有同等法律效力，无须另行签署纸质版本风险揭示书。</w:t>
      </w:r>
    </w:p>
    <w:p>
      <w:pPr>
        <w:autoSpaceDE w:val="0"/>
        <w:autoSpaceDN w:val="0"/>
        <w:spacing w:line="360" w:lineRule="auto"/>
        <w:ind w:firstLine="562" w:firstLineChars="200"/>
        <w:rPr>
          <w:rFonts w:ascii="宋体" w:hAnsi="宋体" w:eastAsia="宋体"/>
          <w:b/>
          <w:color w:val="auto"/>
          <w:sz w:val="28"/>
          <w:szCs w:val="28"/>
        </w:rPr>
      </w:pPr>
      <w:r>
        <w:rPr>
          <w:rFonts w:hint="eastAsia" w:ascii="宋体" w:hAnsi="宋体" w:eastAsia="宋体"/>
          <w:b/>
          <w:color w:val="auto"/>
          <w:sz w:val="28"/>
          <w:szCs w:val="28"/>
        </w:rPr>
        <w:t>以下内容由投资者本人/机构抄写：</w:t>
      </w:r>
    </w:p>
    <w:p>
      <w:pPr>
        <w:spacing w:line="335" w:lineRule="atLeast"/>
        <w:ind w:firstLine="562" w:firstLineChars="200"/>
        <w:rPr>
          <w:rFonts w:ascii="宋体" w:hAnsi="宋体" w:eastAsia="宋体"/>
          <w:b/>
          <w:bCs/>
          <w:color w:val="auto"/>
          <w:sz w:val="28"/>
          <w:szCs w:val="28"/>
        </w:rPr>
      </w:pPr>
      <w:r>
        <w:rPr>
          <w:rFonts w:hint="eastAsia" w:ascii="宋体" w:hAnsi="宋体" w:eastAsia="宋体"/>
          <w:b/>
          <w:bCs/>
          <w:color w:val="auto"/>
          <w:sz w:val="28"/>
          <w:szCs w:val="28"/>
        </w:rPr>
        <w:t>本人/机构确认已阅读并理解相关规则和上述风险揭示内容，具备相应的风险承受能力，自愿参与北交所股票交易业务，并愿意承担相关投资风险和损失。同时本人承诺办理业务时所提供的所有证明材料是真实有效的，如提供虚假证明材料，所产生的一切法律后果由本人/机构自行承担。</w:t>
      </w:r>
    </w:p>
    <w:p>
      <w:pPr>
        <w:spacing w:line="335" w:lineRule="atLeast"/>
        <w:ind w:right="560"/>
        <w:rPr>
          <w:rFonts w:ascii="宋体" w:hAnsi="宋体" w:eastAsia="宋体"/>
          <w:color w:val="auto"/>
          <w:sz w:val="28"/>
          <w:szCs w:val="28"/>
          <w:u w:val="single"/>
        </w:rPr>
      </w:pPr>
      <w:r>
        <w:rPr>
          <w:rFonts w:hint="eastAsia" w:ascii="宋体" w:hAnsi="宋体" w:eastAsia="宋体"/>
          <w:color w:val="auto"/>
          <w:sz w:val="28"/>
          <w:szCs w:val="28"/>
          <w:u w:val="single"/>
        </w:rPr>
        <w:t xml:space="preserve">                                                         </w:t>
      </w:r>
    </w:p>
    <w:p>
      <w:pPr>
        <w:spacing w:line="335" w:lineRule="atLeast"/>
        <w:ind w:right="560"/>
        <w:rPr>
          <w:rFonts w:ascii="宋体" w:hAnsi="宋体" w:eastAsia="宋体"/>
          <w:color w:val="auto"/>
          <w:sz w:val="28"/>
          <w:szCs w:val="28"/>
          <w:u w:val="single"/>
        </w:rPr>
      </w:pPr>
      <w:r>
        <w:rPr>
          <w:rFonts w:hint="eastAsia" w:ascii="宋体" w:hAnsi="宋体" w:eastAsia="宋体"/>
          <w:color w:val="auto"/>
          <w:sz w:val="28"/>
          <w:szCs w:val="28"/>
          <w:u w:val="single"/>
        </w:rPr>
        <w:t xml:space="preserve">                                                         </w:t>
      </w:r>
    </w:p>
    <w:p>
      <w:pPr>
        <w:spacing w:line="335" w:lineRule="atLeast"/>
        <w:ind w:right="560"/>
        <w:rPr>
          <w:rFonts w:ascii="宋体" w:hAnsi="宋体" w:eastAsia="宋体"/>
          <w:color w:val="auto"/>
          <w:sz w:val="28"/>
          <w:szCs w:val="28"/>
          <w:u w:val="single"/>
        </w:rPr>
      </w:pP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p>
    <w:p>
      <w:pPr>
        <w:spacing w:line="335" w:lineRule="atLeast"/>
        <w:ind w:right="560"/>
        <w:rPr>
          <w:rFonts w:ascii="宋体" w:hAnsi="宋体" w:eastAsia="宋体"/>
          <w:color w:val="auto"/>
          <w:sz w:val="28"/>
          <w:szCs w:val="28"/>
          <w:u w:val="single"/>
        </w:rPr>
      </w:pP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p>
    <w:p>
      <w:pPr>
        <w:spacing w:line="335" w:lineRule="atLeast"/>
        <w:ind w:right="560"/>
        <w:rPr>
          <w:rFonts w:ascii="宋体" w:hAnsi="宋体" w:eastAsia="宋体"/>
          <w:color w:val="auto"/>
          <w:sz w:val="28"/>
          <w:szCs w:val="28"/>
          <w:u w:val="single"/>
        </w:rPr>
      </w:pP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p>
    <w:p>
      <w:pPr>
        <w:autoSpaceDE w:val="0"/>
        <w:autoSpaceDN w:val="0"/>
        <w:spacing w:line="360" w:lineRule="auto"/>
        <w:ind w:firstLine="560" w:firstLineChars="200"/>
        <w:rPr>
          <w:rFonts w:ascii="宋体" w:hAnsi="宋体" w:eastAsia="宋体"/>
          <w:color w:val="auto"/>
          <w:sz w:val="28"/>
          <w:szCs w:val="28"/>
          <w:u w:val="single"/>
        </w:rPr>
      </w:pPr>
    </w:p>
    <w:p>
      <w:pPr>
        <w:autoSpaceDE w:val="0"/>
        <w:autoSpaceDN w:val="0"/>
        <w:spacing w:line="360" w:lineRule="auto"/>
        <w:ind w:firstLine="560" w:firstLineChars="200"/>
        <w:rPr>
          <w:rFonts w:ascii="宋体" w:hAnsi="宋体" w:eastAsia="宋体"/>
          <w:color w:val="auto"/>
          <w:sz w:val="28"/>
          <w:szCs w:val="28"/>
          <w:u w:val="single"/>
        </w:rPr>
      </w:pPr>
    </w:p>
    <w:p>
      <w:pPr>
        <w:autoSpaceDE w:val="0"/>
        <w:autoSpaceDN w:val="0"/>
        <w:spacing w:line="360" w:lineRule="auto"/>
        <w:ind w:firstLine="560" w:firstLineChars="200"/>
        <w:rPr>
          <w:rFonts w:ascii="宋体" w:hAnsi="宋体" w:eastAsia="宋体"/>
          <w:color w:val="auto"/>
          <w:sz w:val="28"/>
          <w:szCs w:val="28"/>
          <w:u w:val="single"/>
        </w:rPr>
      </w:pPr>
    </w:p>
    <w:p>
      <w:pPr>
        <w:autoSpaceDE w:val="0"/>
        <w:autoSpaceDN w:val="0"/>
        <w:spacing w:line="360" w:lineRule="auto"/>
        <w:ind w:firstLine="1680" w:firstLineChars="600"/>
        <w:rPr>
          <w:rFonts w:ascii="宋体" w:hAnsi="宋体" w:eastAsia="宋体" w:cs="宋体"/>
          <w:sz w:val="28"/>
          <w:szCs w:val="28"/>
        </w:rPr>
      </w:pPr>
      <w:r>
        <w:rPr>
          <w:rFonts w:hint="eastAsia" w:ascii="宋体" w:hAnsi="宋体" w:eastAsia="宋体" w:cs="宋体"/>
          <w:sz w:val="28"/>
          <w:szCs w:val="28"/>
        </w:rPr>
        <w:t xml:space="preserve">                         客户：</w:t>
      </w:r>
    </w:p>
    <w:p>
      <w:pPr>
        <w:spacing w:line="360" w:lineRule="auto"/>
        <w:jc w:val="right"/>
        <w:rPr>
          <w:rFonts w:ascii="宋体" w:hAnsi="宋体" w:eastAsia="宋体" w:cs="宋体"/>
          <w:sz w:val="28"/>
          <w:szCs w:val="28"/>
        </w:rPr>
      </w:pPr>
      <w:r>
        <w:rPr>
          <w:rFonts w:hint="eastAsia" w:ascii="宋体" w:hAnsi="宋体" w:eastAsia="宋体" w:cs="宋体"/>
          <w:sz w:val="28"/>
          <w:szCs w:val="28"/>
        </w:rPr>
        <w:t>（个人签字/机构盖章）签署</w:t>
      </w:r>
    </w:p>
    <w:p>
      <w:pPr>
        <w:spacing w:line="360" w:lineRule="auto"/>
        <w:jc w:val="right"/>
        <w:rPr>
          <w:rFonts w:ascii="宋体" w:hAnsi="宋体" w:eastAsia="宋体" w:cs="宋体"/>
          <w:kern w:val="0"/>
          <w:sz w:val="28"/>
          <w:szCs w:val="28"/>
        </w:rPr>
      </w:pPr>
      <w:r>
        <w:rPr>
          <w:rFonts w:hint="eastAsia" w:ascii="宋体" w:hAnsi="宋体" w:eastAsia="宋体" w:cs="宋体"/>
          <w:sz w:val="28"/>
          <w:szCs w:val="28"/>
        </w:rPr>
        <w:t xml:space="preserve">日期：  </w:t>
      </w:r>
      <w:r>
        <w:rPr>
          <w:rFonts w:hint="eastAsia" w:ascii="宋体" w:hAnsi="宋体" w:eastAsia="宋体" w:cs="宋体"/>
          <w:sz w:val="28"/>
          <w:szCs w:val="28"/>
        </w:rPr>
        <w:tab/>
      </w:r>
      <w:r>
        <w:rPr>
          <w:rFonts w:hint="eastAsia" w:ascii="宋体" w:hAnsi="宋体" w:eastAsia="宋体" w:cs="宋体"/>
          <w:sz w:val="28"/>
          <w:szCs w:val="28"/>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BFKPQN+·ÂËÎ_GB2312">
    <w:altName w:val="Segoe Print"/>
    <w:panose1 w:val="00000000000000000000"/>
    <w:charset w:val="01"/>
    <w:family w:val="modern"/>
    <w:pitch w:val="default"/>
    <w:sig w:usb0="00000000" w:usb1="00000000" w:usb2="01010101" w:usb3="01010101" w:csb0="01010101" w:csb1="01010101"/>
  </w:font>
  <w:font w:name="EIFMCN+·ÂËÎ_GB2312">
    <w:altName w:val="Segoe Print"/>
    <w:panose1 w:val="00000000000000000000"/>
    <w:charset w:val="01"/>
    <w:family w:val="modern"/>
    <w:pitch w:val="default"/>
    <w:sig w:usb0="00000000" w:usb1="00000000" w:usb2="01010101" w:usb3="01010101" w:csb0="01010101" w:csb1="01010101"/>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ED9F86"/>
    <w:multiLevelType w:val="singleLevel"/>
    <w:tmpl w:val="7CED9F86"/>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hOGEyYzA1ZDE1NzFkNjYzZDFjYjMwMzU2OGM0YWEifQ=="/>
  </w:docVars>
  <w:rsids>
    <w:rsidRoot w:val="00893AE6"/>
    <w:rsid w:val="00007FCD"/>
    <w:rsid w:val="00032F1B"/>
    <w:rsid w:val="000E14E9"/>
    <w:rsid w:val="000F69CB"/>
    <w:rsid w:val="00136483"/>
    <w:rsid w:val="0019576E"/>
    <w:rsid w:val="00365B5D"/>
    <w:rsid w:val="003B4B30"/>
    <w:rsid w:val="004853FA"/>
    <w:rsid w:val="00531F81"/>
    <w:rsid w:val="005470D8"/>
    <w:rsid w:val="006255A8"/>
    <w:rsid w:val="006E0CDB"/>
    <w:rsid w:val="00740BD4"/>
    <w:rsid w:val="00753093"/>
    <w:rsid w:val="00893AE6"/>
    <w:rsid w:val="008C3597"/>
    <w:rsid w:val="0093062F"/>
    <w:rsid w:val="00946FB1"/>
    <w:rsid w:val="00973AD5"/>
    <w:rsid w:val="00A05412"/>
    <w:rsid w:val="00A954F0"/>
    <w:rsid w:val="00AB44AA"/>
    <w:rsid w:val="00AC055D"/>
    <w:rsid w:val="00AF731E"/>
    <w:rsid w:val="00BB0D41"/>
    <w:rsid w:val="00BE43DF"/>
    <w:rsid w:val="00CB7A30"/>
    <w:rsid w:val="00CE5312"/>
    <w:rsid w:val="00EC1A87"/>
    <w:rsid w:val="00EC50AD"/>
    <w:rsid w:val="00FE4D84"/>
    <w:rsid w:val="0DDA6FCE"/>
    <w:rsid w:val="192E36B4"/>
    <w:rsid w:val="2FB77984"/>
    <w:rsid w:val="7DEC2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color w:val="000000"/>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1"/>
    <w:qFormat/>
    <w:uiPriority w:val="1"/>
    <w:pPr>
      <w:autoSpaceDE w:val="0"/>
      <w:autoSpaceDN w:val="0"/>
      <w:jc w:val="left"/>
    </w:pPr>
    <w:rPr>
      <w:rFonts w:ascii="宋体" w:hAnsi="宋体" w:eastAsia="宋体" w:cs="宋体"/>
      <w:color w:val="auto"/>
      <w:kern w:val="0"/>
      <w:sz w:val="32"/>
      <w:szCs w:val="32"/>
    </w:rPr>
  </w:style>
  <w:style w:type="paragraph" w:styleId="3">
    <w:name w:val="Plain Text"/>
    <w:basedOn w:val="1"/>
    <w:link w:val="12"/>
    <w:qFormat/>
    <w:uiPriority w:val="0"/>
    <w:rPr>
      <w:rFonts w:ascii="宋体" w:hAnsi="Courier New" w:eastAsia="宋体"/>
      <w:color w:val="auto"/>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color w:val="auto"/>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sz w:val="18"/>
      <w:szCs w:val="18"/>
    </w:rPr>
  </w:style>
  <w:style w:type="character" w:customStyle="1" w:styleId="9">
    <w:name w:val="页眉 Char"/>
    <w:basedOn w:val="8"/>
    <w:link w:val="6"/>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正文文本 Char"/>
    <w:basedOn w:val="8"/>
    <w:link w:val="2"/>
    <w:uiPriority w:val="1"/>
    <w:rPr>
      <w:rFonts w:ascii="宋体" w:hAnsi="宋体" w:eastAsia="宋体" w:cs="宋体"/>
      <w:kern w:val="0"/>
      <w:sz w:val="32"/>
      <w:szCs w:val="32"/>
    </w:rPr>
  </w:style>
  <w:style w:type="character" w:customStyle="1" w:styleId="12">
    <w:name w:val="纯文本 Char"/>
    <w:basedOn w:val="8"/>
    <w:link w:val="3"/>
    <w:uiPriority w:val="0"/>
    <w:rPr>
      <w:rFonts w:ascii="宋体" w:hAnsi="Courier New" w:eastAsia="宋体" w:cs="Times New Roman"/>
      <w:szCs w:val="20"/>
    </w:rPr>
  </w:style>
  <w:style w:type="character" w:customStyle="1" w:styleId="13">
    <w:name w:val="批注框文本 Char"/>
    <w:basedOn w:val="8"/>
    <w:link w:val="4"/>
    <w:semiHidden/>
    <w:uiPriority w:val="99"/>
    <w:rPr>
      <w:rFonts w:ascii="仿宋" w:hAnsi="仿宋" w:eastAsia="仿宋" w:cs="Times New Roman"/>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2670</Words>
  <Characters>2680</Characters>
  <Lines>19</Lines>
  <Paragraphs>5</Paragraphs>
  <TotalTime>45</TotalTime>
  <ScaleCrop>false</ScaleCrop>
  <LinksUpToDate>false</LinksUpToDate>
  <CharactersWithSpaces>3025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2021-09-18T03:36:00Z</dcterms:created>
  <dc:creator>李 剑</dc:creator>
  <cp:lastModifiedBy>ASUS</cp:lastModifiedBy>
  <cp:lastPrinted>2021-09-18T05:56:00Z</cp:lastPrinted>
  <dcterms:modified xsi:type="dcterms:W3CDTF">2023-09-01T15:05:03Z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CD26D803E77844C393B4A63335BBC36E</vt:lpwstr>
  </property>
</Properties>
</file>