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2"/>
        <w:rPr>
          <w:rFonts w:cs="仿宋"/>
          <w:b/>
          <w:color w:val="auto"/>
          <w:lang w:val="zh-CN"/>
        </w:rPr>
      </w:pPr>
      <w:bookmarkStart w:id="0" w:name="_Toc417468194"/>
      <w:bookmarkStart w:id="1" w:name="_Hlk103873239"/>
      <w:bookmarkStart w:id="2" w:name="_Toc28757"/>
      <w:bookmarkStart w:id="3" w:name="_Toc32170"/>
      <w:bookmarkStart w:id="4" w:name="_Toc7076217"/>
      <w:bookmarkStart w:id="5" w:name="_Toc47707643"/>
      <w:bookmarkStart w:id="6" w:name="_Toc23193"/>
      <w:bookmarkStart w:id="7" w:name="_Toc103880257"/>
      <w:r>
        <w:rPr>
          <w:rFonts w:hint="eastAsia" w:cs="仿宋"/>
          <w:b/>
          <w:color w:val="auto"/>
          <w:sz w:val="32"/>
          <w:szCs w:val="32"/>
          <w:lang w:val="zh-CN" w:bidi="ar"/>
        </w:rPr>
        <w:t>证券交易委托代理协议</w:t>
      </w:r>
      <w:bookmarkEnd w:id="0"/>
      <w:bookmarkEnd w:id="1"/>
      <w:bookmarkEnd w:id="2"/>
      <w:bookmarkEnd w:id="3"/>
      <w:bookmarkEnd w:id="4"/>
      <w:bookmarkEnd w:id="5"/>
      <w:bookmarkEnd w:id="6"/>
      <w:bookmarkEnd w:id="7"/>
    </w:p>
    <w:p>
      <w:pPr>
        <w:rPr>
          <w:rFonts w:hint="eastAsia" w:ascii="宋体" w:hAnsi="宋体" w:eastAsia="宋体" w:cs="仿宋_GB2312"/>
          <w:color w:val="auto"/>
          <w:kern w:val="0"/>
          <w:szCs w:val="21"/>
          <w:lang w:bidi="ar"/>
        </w:rPr>
      </w:pPr>
      <w:r>
        <w:rPr>
          <w:rFonts w:hint="eastAsia" w:ascii="宋体" w:hAnsi="宋体" w:eastAsia="宋体" w:cs="仿宋_GB2312"/>
          <w:color w:val="auto"/>
          <w:kern w:val="0"/>
          <w:szCs w:val="21"/>
          <w:lang w:bidi="ar"/>
        </w:rPr>
        <w:t>甲方</w:t>
      </w:r>
      <w:r>
        <w:rPr>
          <w:rFonts w:hint="eastAsia" w:ascii="宋体" w:hAnsi="宋体" w:eastAsia="宋体" w:cs="仿宋_GB2312"/>
          <w:color w:val="auto"/>
          <w:kern w:val="0"/>
          <w:szCs w:val="21"/>
          <w:lang w:eastAsia="zh-CN" w:bidi="ar"/>
        </w:rPr>
        <w:t>：</w:t>
      </w:r>
      <w:r>
        <w:rPr>
          <w:rFonts w:hint="eastAsia" w:ascii="宋体" w:hAnsi="宋体" w:eastAsia="宋体" w:cs="仿宋_GB2312"/>
          <w:color w:val="auto"/>
          <w:kern w:val="0"/>
          <w:szCs w:val="21"/>
          <w:lang w:bidi="ar"/>
        </w:rPr>
        <w:t>投资者</w:t>
      </w:r>
    </w:p>
    <w:p>
      <w:pPr>
        <w:rPr>
          <w:rFonts w:ascii="宋体" w:hAnsi="宋体" w:eastAsia="宋体" w:cs="仿宋_GB2312"/>
          <w:color w:val="auto"/>
          <w:kern w:val="0"/>
          <w:szCs w:val="21"/>
          <w:lang w:bidi="ar"/>
        </w:rPr>
      </w:pPr>
      <w:r>
        <w:rPr>
          <w:rFonts w:hint="eastAsia" w:ascii="宋体" w:hAnsi="宋体" w:eastAsia="宋体" w:cs="仿宋_GB2312"/>
          <w:color w:val="auto"/>
          <w:kern w:val="0"/>
          <w:szCs w:val="21"/>
          <w:lang w:bidi="ar"/>
        </w:rPr>
        <w:t>乙方</w:t>
      </w:r>
      <w:r>
        <w:rPr>
          <w:rFonts w:hint="eastAsia" w:ascii="宋体" w:hAnsi="宋体" w:eastAsia="宋体" w:cs="仿宋_GB2312"/>
          <w:color w:val="auto"/>
          <w:kern w:val="0"/>
          <w:szCs w:val="21"/>
          <w:lang w:eastAsia="zh-CN" w:bidi="ar"/>
        </w:rPr>
        <w:t>：</w:t>
      </w:r>
      <w:bookmarkStart w:id="8" w:name="_GoBack"/>
      <w:bookmarkEnd w:id="8"/>
      <w:r>
        <w:rPr>
          <w:rFonts w:hint="eastAsia" w:ascii="宋体" w:hAnsi="宋体" w:eastAsia="宋体" w:cs="仿宋_GB2312"/>
          <w:color w:val="auto"/>
          <w:kern w:val="0"/>
          <w:szCs w:val="21"/>
          <w:lang w:bidi="ar"/>
        </w:rPr>
        <w:t>首创证券股份有限公司分支机构</w:t>
      </w:r>
    </w:p>
    <w:p>
      <w:pPr>
        <w:ind w:firstLine="420" w:firstLineChars="200"/>
        <w:rPr>
          <w:rFonts w:asciiTheme="majorEastAsia" w:hAnsiTheme="majorEastAsia" w:eastAsiaTheme="majorEastAsia"/>
          <w:kern w:val="0"/>
          <w:szCs w:val="21"/>
        </w:rPr>
      </w:pPr>
    </w:p>
    <w:p>
      <w:pPr>
        <w:pStyle w:val="2"/>
        <w:spacing w:after="0"/>
        <w:ind w:left="0" w:leftChars="0"/>
        <w:rPr>
          <w:rFonts w:asciiTheme="majorEastAsia" w:hAnsiTheme="majorEastAsia" w:eastAsiaTheme="majorEastAsia"/>
          <w:color w:val="auto"/>
          <w:sz w:val="21"/>
          <w:szCs w:val="21"/>
        </w:rPr>
      </w:pPr>
      <w:r>
        <w:rPr>
          <w:rFonts w:hint="eastAsia" w:asciiTheme="majorEastAsia" w:hAnsiTheme="majorEastAsia" w:eastAsiaTheme="majorEastAsia"/>
          <w:color w:val="auto"/>
          <w:sz w:val="21"/>
          <w:szCs w:val="21"/>
        </w:rPr>
        <w:t>依据《中华人民共和国证券法》《中华人民共和国民法典》《中华人民共和国反洗钱法》《中华人民共和国电子签名法》《中华人民共和国个人信息保护法》《证券期货投资者适当性管理办法》《证券经纪业务管理办法》《证券经纪业务管理实施细则》以及其他有关法律法规、监管规定、自律规则等，甲乙双方就甲方委托乙方代理证券（包括证券衍生品）交易及其他相关事宜达成如下协议，供双方共同遵守。</w:t>
      </w:r>
    </w:p>
    <w:p>
      <w:pPr>
        <w:pStyle w:val="2"/>
        <w:spacing w:after="0"/>
        <w:ind w:left="0" w:leftChars="0"/>
        <w:rPr>
          <w:rFonts w:asciiTheme="majorEastAsia" w:hAnsiTheme="majorEastAsia" w:eastAsiaTheme="majorEastAsia"/>
          <w:color w:val="auto"/>
          <w:sz w:val="21"/>
          <w:szCs w:val="21"/>
        </w:rPr>
      </w:pPr>
    </w:p>
    <w:p>
      <w:pPr>
        <w:pStyle w:val="2"/>
        <w:spacing w:after="0"/>
        <w:ind w:left="0" w:leftChars="0" w:firstLine="0" w:firstLineChars="0"/>
        <w:jc w:val="center"/>
        <w:rPr>
          <w:rFonts w:asciiTheme="majorEastAsia" w:hAnsiTheme="majorEastAsia" w:eastAsiaTheme="majorEastAsia"/>
          <w:b/>
          <w:bCs/>
          <w:color w:val="auto"/>
          <w:sz w:val="21"/>
          <w:szCs w:val="21"/>
        </w:rPr>
      </w:pPr>
      <w:r>
        <w:rPr>
          <w:rFonts w:hint="eastAsia" w:asciiTheme="majorEastAsia" w:hAnsiTheme="majorEastAsia" w:eastAsiaTheme="majorEastAsia"/>
          <w:b/>
          <w:bCs/>
          <w:color w:val="auto"/>
          <w:sz w:val="21"/>
          <w:szCs w:val="21"/>
        </w:rPr>
        <w:t>第一章　双方声明和承诺</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第一条</w:t>
      </w:r>
      <w:r>
        <w:rPr>
          <w:rFonts w:asciiTheme="majorEastAsia" w:hAnsiTheme="majorEastAsia" w:eastAsiaTheme="majorEastAsia"/>
          <w:color w:val="auto"/>
          <w:sz w:val="21"/>
          <w:szCs w:val="21"/>
        </w:rPr>
        <w:t xml:space="preserve">  甲方向乙方作如下声明和承诺：</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1.甲方具有中国法律所要求的进行证券市场投资活动（以下称为“证券投资”）的主体资格，不存在中国法律法规、监管规定、自律规则等禁止或限制进行证券投资活动的情形；</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2.甲方保证在其与乙方委托代理关系存续期内向乙方提供的所有证件、资料和其他信息均真实、准确、完整、有效, 并保证其用于证券投资活动的资金来源合法；相关信息发生变更时，应及时告知乙方，并按照乙方认可的方式重新提供或者进行修改；</w:t>
      </w:r>
    </w:p>
    <w:p>
      <w:pPr>
        <w:pStyle w:val="2"/>
        <w:spacing w:after="0"/>
        <w:ind w:left="0" w:leftChars="0"/>
        <w:rPr>
          <w:rFonts w:asciiTheme="majorEastAsia" w:hAnsiTheme="majorEastAsia" w:eastAsiaTheme="majorEastAsia"/>
          <w:color w:val="auto"/>
          <w:sz w:val="21"/>
          <w:szCs w:val="21"/>
        </w:rPr>
      </w:pPr>
      <w:r>
        <w:rPr>
          <w:rFonts w:hint="eastAsia" w:asciiTheme="majorEastAsia" w:hAnsiTheme="majorEastAsia" w:eastAsiaTheme="majorEastAsia"/>
          <w:color w:val="auto"/>
          <w:sz w:val="21"/>
          <w:szCs w:val="21"/>
        </w:rPr>
        <w:t>甲方同意乙方对甲方信息进行合法验证和报送，并承担因不按规定提供、资料不实、不全或失效引致的一切后果、风险和损失；</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3.甲方已详细阅读本协议所有条款，并准确理解其含义，特别是其中有关乙方的免责条款；甲方已阅读并充分理解乙方向其提供的《证券交易委托风险揭示书》，在清楚认识证券交易规则，了解产品或者服务情况，听取乙方适当性意见的基础上，根据自身能力审慎决策，独立承担投资风险。乙方的适当性匹配意见不表明其对产品或者服务的风险和收益做出实质性判断或者保证；</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 xml:space="preserve">4.甲方购买产品或者接受服务，按监管规定或乙方要求需要提供信息的，所提供的信息应当真实、准确、完整。若甲方提供的信息发生重要变化的，应当及时告知乙方； </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5.甲方承诺遵守证券市场有关法律法规、监管规定、自律规则及本协议约定，不实施异常交易行为，不影响证券交易正常秩序，合规交易，并按照乙方的相关业务流程办理业务。</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6.甲方承诺申请开立的账户用途合法,不存在违规借用他人账户或将本人账户提供给他人使用等情形；</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7.甲方同意配合乙方通过调查、回访等方式了解、核实甲方账户使用情况，并提供核实账户使用情况的必要资料；</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8.甲方同意乙方根据相关法律法规、监管规定或自律规则等规定处理甲方信息。</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第二条</w:t>
      </w:r>
      <w:r>
        <w:rPr>
          <w:rFonts w:asciiTheme="majorEastAsia" w:hAnsiTheme="majorEastAsia" w:eastAsiaTheme="majorEastAsia"/>
          <w:color w:val="auto"/>
          <w:sz w:val="21"/>
          <w:szCs w:val="21"/>
        </w:rPr>
        <w:t xml:space="preserve">  乙方向甲方作如下声明和承诺：</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1.乙方是依照中国法律设立且有效存续的证券经营机构，具有相应的证券经纪业务资格，已按相关规定实施客户交易结算资金第三方存管；</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2.乙方具有开展证券经纪业务的必要条件，能够依照本协议约定为甲方的证券交易提供相应的服务；</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3.乙方承诺遵守有关法律法规、监管规定、自律规则等，不违背甲方的委托为其买卖证券、不接受甲方的全权交易委托、私下交易委托，未经甲方委托，不擅自为甲方买卖证券，或者假借甲方的名义买卖证券；不对甲方的投资收益或亏损进行任何形式的保证，不编造或传播虚假信息误导甲方，不诱使甲方进行不必要的证券交易，不隐匿、伪造、篡改或者损毁甲方交易记录；</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4.乙方承诺将按照甲方发出的合法有效的委托，向证券交易场所或证券登记结算机构及其他金融市场登记结算机构发送委托指令；</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5.乙方承诺将遵守本协议，按本协议为甲方提供证券交易委托代理服务。</w:t>
      </w:r>
    </w:p>
    <w:p>
      <w:pPr>
        <w:pStyle w:val="2"/>
        <w:spacing w:after="0"/>
        <w:ind w:left="0" w:leftChars="0"/>
        <w:rPr>
          <w:rFonts w:asciiTheme="majorEastAsia" w:hAnsiTheme="majorEastAsia" w:eastAsiaTheme="majorEastAsia"/>
          <w:color w:val="auto"/>
          <w:sz w:val="21"/>
          <w:szCs w:val="21"/>
        </w:rPr>
      </w:pPr>
    </w:p>
    <w:p>
      <w:pPr>
        <w:pStyle w:val="2"/>
        <w:spacing w:after="0"/>
        <w:ind w:left="0" w:leftChars="0" w:firstLine="0" w:firstLineChars="0"/>
        <w:jc w:val="center"/>
        <w:rPr>
          <w:rFonts w:asciiTheme="majorEastAsia" w:hAnsiTheme="majorEastAsia" w:eastAsiaTheme="majorEastAsia"/>
          <w:b/>
          <w:bCs/>
          <w:color w:val="auto"/>
          <w:sz w:val="21"/>
          <w:szCs w:val="21"/>
        </w:rPr>
      </w:pPr>
      <w:r>
        <w:rPr>
          <w:rFonts w:hint="eastAsia" w:asciiTheme="majorEastAsia" w:hAnsiTheme="majorEastAsia" w:eastAsiaTheme="majorEastAsia"/>
          <w:b/>
          <w:bCs/>
          <w:color w:val="auto"/>
          <w:sz w:val="21"/>
          <w:szCs w:val="21"/>
        </w:rPr>
        <w:t>第二章　委托代理</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第三条</w:t>
      </w:r>
      <w:r>
        <w:rPr>
          <w:rFonts w:asciiTheme="majorEastAsia" w:hAnsiTheme="majorEastAsia" w:eastAsiaTheme="majorEastAsia"/>
          <w:color w:val="auto"/>
          <w:sz w:val="21"/>
          <w:szCs w:val="21"/>
        </w:rPr>
        <w:t xml:space="preserve">  双方同意，乙方接受甲方委托为其代理提供以下服务： </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1.接受并执行甲方依照本协议约定的方式下达的合法有效的委托指令；</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2.代理甲方进行资金、证券的清算、交收；</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3.代理保管甲方买入或存入的有价证券；</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4.代理甲方领取红利股息及其他利益分配；</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5.接受甲方对其委托、成交及账户内的资产及变化情况的查询，并应甲方的要求提供相应的清单；</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6.双方依法约定的其他委托事项；</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7.法律法规、监管规定、自律规则规定的、乙方可以代甲方进行的其他活动。</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第四条</w:t>
      </w:r>
      <w:r>
        <w:rPr>
          <w:rFonts w:asciiTheme="majorEastAsia" w:hAnsiTheme="majorEastAsia" w:eastAsiaTheme="majorEastAsia"/>
          <w:color w:val="auto"/>
          <w:sz w:val="21"/>
          <w:szCs w:val="21"/>
        </w:rPr>
        <w:t xml:space="preserve">  甲方在证券投资前，应先依照法律法规、监管规定、自律规则及相关业务规则在乙方开立账户用于甲方的证券交易、清算交收和计付利息等。乙方代理证券登记结算机构开立证券账户，应遵循上述机构的有关规定。</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第五条</w:t>
      </w:r>
      <w:r>
        <w:rPr>
          <w:rFonts w:asciiTheme="majorEastAsia" w:hAnsiTheme="majorEastAsia" w:eastAsiaTheme="majorEastAsia"/>
          <w:color w:val="auto"/>
          <w:sz w:val="21"/>
          <w:szCs w:val="21"/>
        </w:rPr>
        <w:t xml:space="preserve">  甲方向乙方下达委托指令的方式由双方约定。甲方向乙方下达委托指令的方式包括柜台委托、自助委托以及乙方认可的其他合法委托方式，自助委托包括网上委托、电话委托、热键委托等，具体委托方式以实际开通为准。</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第六条</w:t>
      </w:r>
      <w:r>
        <w:rPr>
          <w:rFonts w:asciiTheme="majorEastAsia" w:hAnsiTheme="majorEastAsia" w:eastAsiaTheme="majorEastAsia"/>
          <w:color w:val="auto"/>
          <w:sz w:val="21"/>
          <w:szCs w:val="21"/>
        </w:rPr>
        <w:t xml:space="preserve">  甲方进行网上委托时，只能使用乙方直接提供给甲方的软件，或甲方依照乙方指示从乙方指定站点下载的软件。甲方使用其他途径获得的软件进行网上委托所产生的后果、风险和损失由甲方自行承担。</w:t>
      </w:r>
    </w:p>
    <w:p>
      <w:pPr>
        <w:pStyle w:val="2"/>
        <w:spacing w:after="0"/>
        <w:ind w:left="0" w:leftChars="0"/>
        <w:rPr>
          <w:rFonts w:asciiTheme="majorEastAsia" w:hAnsiTheme="majorEastAsia" w:eastAsiaTheme="majorEastAsia"/>
          <w:color w:val="auto"/>
          <w:sz w:val="21"/>
          <w:szCs w:val="21"/>
        </w:rPr>
      </w:pPr>
      <w:r>
        <w:rPr>
          <w:rFonts w:hint="eastAsia" w:asciiTheme="majorEastAsia" w:hAnsiTheme="majorEastAsia" w:eastAsiaTheme="majorEastAsia"/>
          <w:color w:val="auto"/>
          <w:sz w:val="21"/>
          <w:szCs w:val="21"/>
        </w:rPr>
        <w:t>网上委托是指甲方通过互联网或移动通讯网络向乙方网上委托系统下达委托指令、获取成交结果的服务方式。网上委托的上网终端包括电子计算机、手机等通过互联网或移动通讯网络连接乙方委托系统的设备。</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第七条　</w:t>
      </w:r>
      <w:r>
        <w:rPr>
          <w:rFonts w:hint="eastAsia" w:asciiTheme="majorEastAsia" w:hAnsiTheme="majorEastAsia" w:eastAsiaTheme="majorEastAsia"/>
          <w:color w:val="auto"/>
          <w:sz w:val="21"/>
          <w:szCs w:val="21"/>
        </w:rPr>
        <w:t>甲乙双方可以采用电子方式或纸质方式就第五条约定的委托方式之外的其他委托方式进行约定，并约定该委托方式的执行程序、身份验证方式等内容。其他委托方式应符合相关法律法规、监管规定、自律规则等规定。</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第八条</w:t>
      </w:r>
      <w:r>
        <w:rPr>
          <w:rFonts w:hint="eastAsia" w:asciiTheme="majorEastAsia" w:hAnsiTheme="majorEastAsia" w:eastAsiaTheme="majorEastAsia"/>
          <w:color w:val="auto"/>
          <w:sz w:val="21"/>
          <w:szCs w:val="21"/>
        </w:rPr>
        <w:t>　甲方应当同时开通多种委托方式，当乙方某种委托系统出现故障或其他异常情况时，甲方可采用其他委托方式下达委托指令。</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第九条</w:t>
      </w:r>
      <w:r>
        <w:rPr>
          <w:rFonts w:hint="eastAsia" w:asciiTheme="majorEastAsia" w:hAnsiTheme="majorEastAsia" w:eastAsiaTheme="majorEastAsia"/>
          <w:color w:val="auto"/>
          <w:sz w:val="21"/>
          <w:szCs w:val="21"/>
        </w:rPr>
        <w:t>　甲方委托乙方代理其进行证券交易而发出的委托及撤销委托等指令的内容和方式应符合法律法规、监管规定、自律规则及本协议的相关约定。甲方通过乙方委托系统进行证券交易时，如因甲方操作失误或因甲方指令违反上述规则或约定，或其他可归咎于甲方的原因而造成损失的，由甲方承担。</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第十条</w:t>
      </w:r>
      <w:r>
        <w:rPr>
          <w:rFonts w:hint="eastAsia" w:asciiTheme="majorEastAsia" w:hAnsiTheme="majorEastAsia" w:eastAsiaTheme="majorEastAsia"/>
          <w:color w:val="auto"/>
          <w:sz w:val="21"/>
          <w:szCs w:val="21"/>
          <w:lang w:val="en-US" w:eastAsia="zh-CN"/>
        </w:rPr>
        <w:t xml:space="preserve">  </w:t>
      </w:r>
      <w:r>
        <w:rPr>
          <w:rFonts w:asciiTheme="majorEastAsia" w:hAnsiTheme="majorEastAsia" w:eastAsiaTheme="majorEastAsia"/>
          <w:color w:val="auto"/>
          <w:sz w:val="21"/>
          <w:szCs w:val="21"/>
        </w:rPr>
        <w:t>如甲方发出的指令被乙方委托系统受理且证券交易场所交易系统受理的，则该委托应视为有效委托。如甲方发出的指令被乙方委托系统或证券交易场所交易系统拒绝受理，则该委托应视为无效委托。甲方在进行委托前须确保已完全了解有关交易规则，避免发出无效委托指令。</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第十一条</w:t>
      </w:r>
      <w:r>
        <w:rPr>
          <w:rFonts w:asciiTheme="majorEastAsia" w:hAnsiTheme="majorEastAsia" w:eastAsiaTheme="majorEastAsia"/>
          <w:color w:val="auto"/>
          <w:sz w:val="21"/>
          <w:szCs w:val="21"/>
        </w:rPr>
        <w:t xml:space="preserve"> </w:t>
      </w:r>
      <w:r>
        <w:rPr>
          <w:rFonts w:hint="eastAsia" w:asciiTheme="majorEastAsia" w:hAnsiTheme="majorEastAsia" w:eastAsiaTheme="majorEastAsia"/>
          <w:color w:val="auto"/>
          <w:sz w:val="21"/>
          <w:szCs w:val="21"/>
          <w:lang w:val="en-US" w:eastAsia="zh-CN"/>
        </w:rPr>
        <w:t xml:space="preserve"> </w:t>
      </w:r>
      <w:r>
        <w:rPr>
          <w:rFonts w:asciiTheme="majorEastAsia" w:hAnsiTheme="majorEastAsia" w:eastAsiaTheme="majorEastAsia"/>
          <w:color w:val="auto"/>
          <w:sz w:val="21"/>
          <w:szCs w:val="21"/>
        </w:rPr>
        <w:t>乙方接受甲方委托指令时，如果出现由于甲方原委托指令未撤销而造成乙方无法执行甲方新的委托指令时，由此导致的后果、风险和损失，由甲方承担。</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第十二条</w:t>
      </w:r>
      <w:r>
        <w:rPr>
          <w:rFonts w:asciiTheme="majorEastAsia" w:hAnsiTheme="majorEastAsia" w:eastAsiaTheme="majorEastAsia"/>
          <w:color w:val="auto"/>
          <w:sz w:val="21"/>
          <w:szCs w:val="21"/>
        </w:rPr>
        <w:t xml:space="preserve"> </w:t>
      </w:r>
      <w:r>
        <w:rPr>
          <w:rFonts w:hint="eastAsia" w:asciiTheme="majorEastAsia" w:hAnsiTheme="majorEastAsia" w:eastAsiaTheme="majorEastAsia"/>
          <w:color w:val="auto"/>
          <w:sz w:val="21"/>
          <w:szCs w:val="21"/>
          <w:lang w:val="en-US" w:eastAsia="zh-CN"/>
        </w:rPr>
        <w:t xml:space="preserve"> </w:t>
      </w:r>
      <w:r>
        <w:rPr>
          <w:rFonts w:asciiTheme="majorEastAsia" w:hAnsiTheme="majorEastAsia" w:eastAsiaTheme="majorEastAsia"/>
          <w:color w:val="auto"/>
          <w:sz w:val="21"/>
          <w:szCs w:val="21"/>
        </w:rPr>
        <w:t>甲方可对未显示成交回报的委托发出撤销委托指令，但若乙方根据该委托已向证券交易场所提交申报，相关申报根据法律法规、监管规定、自律规则规定不可撤销的除外。由于市场价格波动及成交回报速度的原因，乙方虽根据甲方的撤销委托指令发出撤销申报指令，但甲方委托所对应的申报可能已成交，此时甲方应承认并接受该成交结果。</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第十三条</w:t>
      </w:r>
      <w:r>
        <w:rPr>
          <w:rFonts w:asciiTheme="majorEastAsia" w:hAnsiTheme="majorEastAsia" w:eastAsiaTheme="majorEastAsia"/>
          <w:color w:val="auto"/>
          <w:sz w:val="21"/>
          <w:szCs w:val="21"/>
        </w:rPr>
        <w:t xml:space="preserve"> </w:t>
      </w:r>
      <w:r>
        <w:rPr>
          <w:rFonts w:hint="eastAsia" w:asciiTheme="majorEastAsia" w:hAnsiTheme="majorEastAsia" w:eastAsiaTheme="majorEastAsia"/>
          <w:color w:val="auto"/>
          <w:sz w:val="21"/>
          <w:szCs w:val="21"/>
          <w:lang w:val="en-US" w:eastAsia="zh-CN"/>
        </w:rPr>
        <w:t xml:space="preserve"> </w:t>
      </w:r>
      <w:r>
        <w:rPr>
          <w:rFonts w:asciiTheme="majorEastAsia" w:hAnsiTheme="majorEastAsia" w:eastAsiaTheme="majorEastAsia"/>
          <w:color w:val="auto"/>
          <w:sz w:val="21"/>
          <w:szCs w:val="21"/>
        </w:rPr>
        <w:t>乙方接受甲方委托提交的申报指令成交与否以证券登记结算机构及其他金融市场登记结算机构发送的清算数据为准，成交即时回报仅供参考。由于市场或设备、网络通讯等技术原因，如果出现高于甲方委托卖出价格或者低于甲方委托买入价格的成交价后长时间仍无成交即时回报的情况，此时乙方接受甲方委托提交的申报指令成交与否一律以证券登记结算机构及其他金融市场登记结算机构发送的清算数据为准。乙方接受甲方对其成交情况及账户资金和证券变化情况的查询，并应根据甲方的要求提供相应的清单。</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第十四条</w:t>
      </w:r>
      <w:r>
        <w:rPr>
          <w:rFonts w:asciiTheme="majorEastAsia" w:hAnsiTheme="majorEastAsia" w:eastAsiaTheme="majorEastAsia"/>
          <w:color w:val="auto"/>
          <w:sz w:val="21"/>
          <w:szCs w:val="21"/>
        </w:rPr>
        <w:t xml:space="preserve"> 乙方按法律法规、监管规定、自律规则的规定对甲方委托指令要素的齐备性进行核查。甲方保证其账户中有足够的资金或证券，并根据成交结果承担相应的清算交收责任。乙方按规定对甲方账户内的资金、证券是否充足进行审查。甲方账户资金不足时，乙方按规定拒绝甲方的买入委托指令及其他根据业务规则需要校验资金是否足额的委托指令；甲方账户内证券不足时，乙方按规定拒绝甲方的卖出委托指令及其他根据业务规则需要校验证券是否足额的委托指令。</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第十五条</w:t>
      </w:r>
      <w:r>
        <w:rPr>
          <w:rFonts w:hint="eastAsia" w:asciiTheme="majorEastAsia" w:hAnsiTheme="majorEastAsia" w:eastAsiaTheme="majorEastAsia"/>
          <w:b/>
          <w:bCs/>
          <w:color w:val="auto"/>
          <w:sz w:val="21"/>
          <w:szCs w:val="21"/>
          <w:lang w:val="en-US" w:eastAsia="zh-CN"/>
        </w:rPr>
        <w:t xml:space="preserve"> </w:t>
      </w:r>
      <w:r>
        <w:rPr>
          <w:rFonts w:asciiTheme="majorEastAsia" w:hAnsiTheme="majorEastAsia" w:eastAsiaTheme="majorEastAsia"/>
          <w:color w:val="auto"/>
          <w:sz w:val="21"/>
          <w:szCs w:val="21"/>
        </w:rPr>
        <w:t xml:space="preserve"> 甲方应特别注意证券市场有关证券的公告信息，包括但不限于配股缴款、红利领取、红股上市、转板上市、强制赎回、转股回售、退市、重新上市、跨市场转登记、B股转A股等已发布信息，并应在相关时间节点前做好合理安排。 </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第十六条</w:t>
      </w:r>
      <w:r>
        <w:rPr>
          <w:rFonts w:hint="eastAsia" w:asciiTheme="majorEastAsia" w:hAnsiTheme="majorEastAsia" w:eastAsiaTheme="majorEastAsia"/>
          <w:b/>
          <w:bCs/>
          <w:color w:val="auto"/>
          <w:sz w:val="21"/>
          <w:szCs w:val="21"/>
          <w:lang w:val="en-US" w:eastAsia="zh-CN"/>
        </w:rPr>
        <w:t xml:space="preserve"> </w:t>
      </w:r>
      <w:r>
        <w:rPr>
          <w:rFonts w:asciiTheme="majorEastAsia" w:hAnsiTheme="majorEastAsia" w:eastAsiaTheme="majorEastAsia"/>
          <w:b/>
          <w:bCs/>
          <w:color w:val="auto"/>
          <w:sz w:val="21"/>
          <w:szCs w:val="21"/>
        </w:rPr>
        <w:t xml:space="preserve"> </w:t>
      </w:r>
      <w:r>
        <w:rPr>
          <w:rFonts w:asciiTheme="majorEastAsia" w:hAnsiTheme="majorEastAsia" w:eastAsiaTheme="majorEastAsia"/>
          <w:color w:val="auto"/>
          <w:sz w:val="21"/>
          <w:szCs w:val="21"/>
        </w:rPr>
        <w:t>甲方发现以下异常情形时，应立即通知乙方：</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1.证券交易场所已开市，甲方无法进入委托交易系统；</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2.甲方发现账户中资产余额、委托记录有异常；</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3.甲方发现有人在未经任何授权的情况下使用其账户密码；</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4.甲方发现其他影响其正常交易的异常情形。</w:t>
      </w:r>
    </w:p>
    <w:p>
      <w:pPr>
        <w:pStyle w:val="2"/>
        <w:spacing w:after="0"/>
        <w:ind w:left="0" w:leftChars="0"/>
        <w:rPr>
          <w:rFonts w:asciiTheme="majorEastAsia" w:hAnsiTheme="majorEastAsia" w:eastAsiaTheme="majorEastAsia"/>
          <w:color w:val="auto"/>
          <w:sz w:val="21"/>
          <w:szCs w:val="21"/>
        </w:rPr>
      </w:pPr>
      <w:r>
        <w:rPr>
          <w:rFonts w:hint="eastAsia" w:asciiTheme="majorEastAsia" w:hAnsiTheme="majorEastAsia" w:eastAsiaTheme="majorEastAsia"/>
          <w:color w:val="auto"/>
          <w:sz w:val="21"/>
          <w:szCs w:val="21"/>
        </w:rPr>
        <w:t>出现上述异常情形时，如甲方未能立即通知乙方，由此而导致的后果、损失和风险，由甲方自行承担。</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第十七条</w:t>
      </w:r>
      <w:r>
        <w:rPr>
          <w:rFonts w:asciiTheme="majorEastAsia" w:hAnsiTheme="majorEastAsia" w:eastAsiaTheme="majorEastAsia"/>
          <w:color w:val="auto"/>
          <w:sz w:val="21"/>
          <w:szCs w:val="21"/>
        </w:rPr>
        <w:t xml:space="preserve">  甲方应在委托指令下达后三个交易日内向乙方查询该委托结果，如甲方对委托结果有异议或发现任何系统异常情况，须在查询当日以电子方式或纸质方式向乙方提出质询。</w:t>
      </w:r>
    </w:p>
    <w:p>
      <w:pPr>
        <w:pStyle w:val="2"/>
        <w:spacing w:after="0"/>
        <w:ind w:left="0" w:leftChars="0"/>
        <w:rPr>
          <w:rFonts w:asciiTheme="majorEastAsia" w:hAnsiTheme="majorEastAsia" w:eastAsiaTheme="majorEastAsia"/>
          <w:color w:val="auto"/>
          <w:sz w:val="21"/>
          <w:szCs w:val="21"/>
        </w:rPr>
      </w:pPr>
      <w:r>
        <w:rPr>
          <w:rFonts w:hint="eastAsia" w:asciiTheme="majorEastAsia" w:hAnsiTheme="majorEastAsia" w:eastAsiaTheme="majorEastAsia"/>
          <w:color w:val="auto"/>
          <w:sz w:val="21"/>
          <w:szCs w:val="21"/>
        </w:rPr>
        <w:t>甲方逾期未办理查询或未对有异议的查询结果以电子方式或纸质方式向乙方提出质询的，视同甲方对该委托结果无异议。</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第十八条</w:t>
      </w:r>
      <w:r>
        <w:rPr>
          <w:rFonts w:asciiTheme="majorEastAsia" w:hAnsiTheme="majorEastAsia" w:eastAsiaTheme="majorEastAsia"/>
          <w:color w:val="auto"/>
          <w:sz w:val="21"/>
          <w:szCs w:val="21"/>
        </w:rPr>
        <w:t xml:space="preserve">  甲方可要求乙方为其提供对账单或资产证明材料等。甲方可在乙方营业场所临柜查询和打印，也可通过乙方提供的其他方式查询和打印。双方另行通过电子方式或纸质方式约定交付方式和交付时间的，乙方应按约定执行。</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第十九条</w:t>
      </w:r>
      <w:r>
        <w:rPr>
          <w:rFonts w:asciiTheme="majorEastAsia" w:hAnsiTheme="majorEastAsia" w:eastAsiaTheme="majorEastAsia"/>
          <w:color w:val="auto"/>
          <w:sz w:val="21"/>
          <w:szCs w:val="21"/>
        </w:rPr>
        <w:t xml:space="preserve">  甲方的交易委托必须符合法律法规、监管规定和自律规则等规定。对于甲方可能影响正常交易秩序的异常交易行为，乙方有权对甲方的交易委托采取限制措施，并按照规定履行报告义务，由此产生的一切后果、风险和损失由甲方自行承担。</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第二十条</w:t>
      </w:r>
      <w:r>
        <w:rPr>
          <w:rFonts w:asciiTheme="majorEastAsia" w:hAnsiTheme="majorEastAsia" w:eastAsiaTheme="majorEastAsia"/>
          <w:color w:val="auto"/>
          <w:sz w:val="21"/>
          <w:szCs w:val="21"/>
        </w:rPr>
        <w:t xml:space="preserve"> </w:t>
      </w:r>
      <w:r>
        <w:rPr>
          <w:rFonts w:hint="eastAsia" w:asciiTheme="majorEastAsia" w:hAnsiTheme="majorEastAsia" w:eastAsiaTheme="majorEastAsia"/>
          <w:color w:val="auto"/>
          <w:sz w:val="21"/>
          <w:szCs w:val="21"/>
          <w:lang w:val="en-US" w:eastAsia="zh-CN"/>
        </w:rPr>
        <w:t xml:space="preserve"> </w:t>
      </w:r>
      <w:r>
        <w:rPr>
          <w:rFonts w:asciiTheme="majorEastAsia" w:hAnsiTheme="majorEastAsia" w:eastAsiaTheme="majorEastAsia"/>
          <w:color w:val="auto"/>
          <w:sz w:val="21"/>
          <w:szCs w:val="21"/>
        </w:rPr>
        <w:t>乙方按照有关法律法规、监管规定、自律规则向甲方收取交易佣金及代收印花税等其他相关税费。佣金收取标准以电子或纸质方式另行约定。代收的印花税等其他相关税费按照有关法律法规、监管规定、自律规则的标准收取。</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第二十一条</w:t>
      </w:r>
      <w:r>
        <w:rPr>
          <w:rFonts w:asciiTheme="majorEastAsia" w:hAnsiTheme="majorEastAsia" w:eastAsiaTheme="majorEastAsia"/>
          <w:color w:val="auto"/>
          <w:sz w:val="21"/>
          <w:szCs w:val="21"/>
        </w:rPr>
        <w:t xml:space="preserve"> </w:t>
      </w:r>
      <w:r>
        <w:rPr>
          <w:rFonts w:hint="eastAsia" w:asciiTheme="majorEastAsia" w:hAnsiTheme="majorEastAsia" w:eastAsiaTheme="majorEastAsia"/>
          <w:color w:val="auto"/>
          <w:sz w:val="21"/>
          <w:szCs w:val="21"/>
          <w:lang w:val="en-US" w:eastAsia="zh-CN"/>
        </w:rPr>
        <w:t xml:space="preserve"> </w:t>
      </w:r>
      <w:r>
        <w:rPr>
          <w:rFonts w:asciiTheme="majorEastAsia" w:hAnsiTheme="majorEastAsia" w:eastAsiaTheme="majorEastAsia"/>
          <w:color w:val="auto"/>
          <w:sz w:val="21"/>
          <w:szCs w:val="21"/>
        </w:rPr>
        <w:t>乙方根据甲方的委托，按照证券交易规则提出交易申报，根据成交结果完成与甲方的证券和资金的交收，并承担相应的交收责任；甲方知晓并同意，甲乙双方之间的证券划付委托证券登记结算机构代为办理。</w:t>
      </w:r>
    </w:p>
    <w:p>
      <w:pPr>
        <w:ind w:firstLine="426" w:firstLineChars="202"/>
        <w:rPr>
          <w:rFonts w:hint="eastAsia" w:cs="Arial" w:asciiTheme="minorEastAsia" w:hAnsiTheme="minorEastAsia" w:eastAsiaTheme="minorEastAsia"/>
          <w:b w:val="0"/>
          <w:bCs w:val="0"/>
          <w:kern w:val="0"/>
          <w:szCs w:val="21"/>
          <w:lang w:val="en-US" w:eastAsia="zh-CN"/>
        </w:rPr>
      </w:pPr>
      <w:r>
        <w:rPr>
          <w:rFonts w:hint="eastAsia" w:cs="Arial" w:asciiTheme="minorEastAsia" w:hAnsiTheme="minorEastAsia" w:eastAsiaTheme="minorEastAsia"/>
          <w:b/>
          <w:bCs/>
          <w:kern w:val="0"/>
          <w:szCs w:val="21"/>
          <w:lang w:val="en-US" w:eastAsia="zh-CN"/>
        </w:rPr>
        <w:t>第二十二条</w:t>
      </w:r>
      <w:r>
        <w:rPr>
          <w:rFonts w:hint="eastAsia" w:cs="Arial" w:asciiTheme="minorEastAsia" w:hAnsiTheme="minorEastAsia" w:eastAsiaTheme="minorEastAsia"/>
          <w:b w:val="0"/>
          <w:bCs w:val="0"/>
          <w:kern w:val="0"/>
          <w:szCs w:val="21"/>
          <w:lang w:val="en-US" w:eastAsia="zh-CN"/>
        </w:rPr>
        <w:t xml:space="preserve">  甲方在上海证券交易所、深圳证券交易所、北京证券交易所</w:t>
      </w:r>
      <w:r>
        <w:rPr>
          <w:rFonts w:hint="eastAsia" w:cs="Arial" w:asciiTheme="minorEastAsia" w:hAnsiTheme="minorEastAsia" w:eastAsiaTheme="minorEastAsia"/>
          <w:b w:val="0"/>
          <w:bCs w:val="0"/>
          <w:kern w:val="0"/>
          <w:szCs w:val="21"/>
        </w:rPr>
        <w:t>及后续可能依法设立的其他证券交易所</w:t>
      </w:r>
      <w:r>
        <w:rPr>
          <w:rFonts w:hint="eastAsia" w:cs="Arial" w:asciiTheme="minorEastAsia" w:hAnsiTheme="minorEastAsia" w:eastAsiaTheme="minorEastAsia"/>
          <w:b w:val="0"/>
          <w:bCs w:val="0"/>
          <w:kern w:val="0"/>
          <w:szCs w:val="21"/>
          <w:lang w:val="en-US" w:eastAsia="zh-CN"/>
        </w:rPr>
        <w:t>开展证券程序化交易的</w:t>
      </w:r>
      <w:r>
        <w:rPr>
          <w:rFonts w:hint="eastAsia" w:cs="Arial" w:asciiTheme="minorEastAsia" w:hAnsiTheme="minorEastAsia" w:eastAsiaTheme="minorEastAsia"/>
          <w:b w:val="0"/>
          <w:bCs w:val="0"/>
          <w:kern w:val="0"/>
          <w:szCs w:val="21"/>
        </w:rPr>
        <w:t>。</w:t>
      </w:r>
      <w:r>
        <w:rPr>
          <w:rFonts w:hint="eastAsia" w:cs="Arial" w:asciiTheme="minorEastAsia" w:hAnsiTheme="minorEastAsia" w:eastAsiaTheme="minorEastAsia"/>
          <w:b w:val="0"/>
          <w:bCs w:val="0"/>
          <w:kern w:val="0"/>
          <w:szCs w:val="21"/>
          <w:lang w:val="en-US" w:eastAsia="zh-CN"/>
        </w:rPr>
        <w:t>应当遵守法律、行政法规、部门规章、规范性文件以及证券交易所业务规则，依法合规进行程序化交易。</w:t>
      </w:r>
    </w:p>
    <w:p>
      <w:pPr>
        <w:ind w:firstLine="426" w:firstLineChars="202"/>
        <w:rPr>
          <w:rFonts w:hint="default" w:cs="Arial" w:asciiTheme="minorEastAsia" w:hAnsiTheme="minorEastAsia" w:eastAsiaTheme="minorEastAsia"/>
          <w:b w:val="0"/>
          <w:bCs w:val="0"/>
          <w:kern w:val="0"/>
          <w:szCs w:val="21"/>
          <w:lang w:val="en-US" w:eastAsia="zh-CN"/>
        </w:rPr>
      </w:pPr>
      <w:r>
        <w:rPr>
          <w:rFonts w:hint="eastAsia" w:cs="Arial" w:asciiTheme="minorEastAsia" w:hAnsiTheme="minorEastAsia" w:eastAsiaTheme="minorEastAsia"/>
          <w:b/>
          <w:bCs/>
          <w:kern w:val="0"/>
          <w:szCs w:val="21"/>
          <w:lang w:val="en-US" w:eastAsia="zh-CN"/>
        </w:rPr>
        <w:t xml:space="preserve">第二十三条 </w:t>
      </w:r>
      <w:r>
        <w:rPr>
          <w:rFonts w:hint="eastAsia" w:cs="Arial" w:asciiTheme="minorEastAsia" w:hAnsiTheme="minorEastAsia" w:eastAsiaTheme="minorEastAsia"/>
          <w:b w:val="0"/>
          <w:bCs w:val="0"/>
          <w:kern w:val="0"/>
          <w:szCs w:val="21"/>
          <w:lang w:val="en-US" w:eastAsia="zh-CN"/>
        </w:rPr>
        <w:t xml:space="preserve"> 甲方</w:t>
      </w:r>
      <w:r>
        <w:rPr>
          <w:rFonts w:hint="eastAsia" w:cs="Arial" w:asciiTheme="minorEastAsia" w:hAnsiTheme="minorEastAsia" w:eastAsiaTheme="minorEastAsia"/>
          <w:b w:val="0"/>
          <w:bCs w:val="0"/>
          <w:kern w:val="0"/>
          <w:szCs w:val="21"/>
        </w:rPr>
        <w:t>首次开展股票程序化交易前应当向</w:t>
      </w:r>
      <w:r>
        <w:rPr>
          <w:rFonts w:hint="default" w:cs="Arial" w:asciiTheme="minorEastAsia" w:hAnsiTheme="minorEastAsia" w:eastAsiaTheme="minorEastAsia"/>
          <w:b w:val="0"/>
          <w:bCs w:val="0"/>
          <w:kern w:val="0"/>
          <w:szCs w:val="21"/>
        </w:rPr>
        <w:t>乙方进行</w:t>
      </w:r>
      <w:r>
        <w:rPr>
          <w:rFonts w:hint="eastAsia" w:cs="Arial" w:asciiTheme="minorEastAsia" w:hAnsiTheme="minorEastAsia" w:eastAsiaTheme="minorEastAsia"/>
          <w:b w:val="0"/>
          <w:bCs w:val="0"/>
          <w:kern w:val="0"/>
          <w:szCs w:val="21"/>
        </w:rPr>
        <w:t>报告，在</w:t>
      </w:r>
      <w:r>
        <w:rPr>
          <w:rFonts w:hint="default" w:cs="Arial" w:asciiTheme="minorEastAsia" w:hAnsiTheme="minorEastAsia" w:eastAsiaTheme="minorEastAsia"/>
          <w:b w:val="0"/>
          <w:bCs w:val="0"/>
          <w:kern w:val="0"/>
          <w:szCs w:val="21"/>
        </w:rPr>
        <w:t>乙方</w:t>
      </w:r>
      <w:r>
        <w:rPr>
          <w:rFonts w:hint="eastAsia" w:cs="Arial" w:asciiTheme="minorEastAsia" w:hAnsiTheme="minorEastAsia" w:eastAsiaTheme="minorEastAsia"/>
          <w:b w:val="0"/>
          <w:bCs w:val="0"/>
          <w:kern w:val="0"/>
          <w:szCs w:val="21"/>
        </w:rPr>
        <w:t>接收确认后，方可进行程序化交易。程序化交易报告信息</w:t>
      </w:r>
      <w:r>
        <w:rPr>
          <w:rFonts w:hint="default" w:cs="Arial" w:asciiTheme="minorEastAsia" w:hAnsiTheme="minorEastAsia" w:eastAsiaTheme="minorEastAsia"/>
          <w:b w:val="0"/>
          <w:bCs w:val="0"/>
          <w:kern w:val="0"/>
          <w:szCs w:val="21"/>
        </w:rPr>
        <w:t>若发生相关业务规则中规定的</w:t>
      </w:r>
      <w:r>
        <w:rPr>
          <w:rFonts w:hint="eastAsia" w:cs="Arial" w:asciiTheme="minorEastAsia" w:hAnsiTheme="minorEastAsia" w:eastAsiaTheme="minorEastAsia"/>
          <w:b w:val="0"/>
          <w:bCs w:val="0"/>
          <w:kern w:val="0"/>
          <w:szCs w:val="21"/>
        </w:rPr>
        <w:t>重大变更</w:t>
      </w:r>
      <w:r>
        <w:rPr>
          <w:rFonts w:hint="default" w:cs="Arial" w:asciiTheme="minorEastAsia" w:hAnsiTheme="minorEastAsia" w:eastAsiaTheme="minorEastAsia"/>
          <w:b w:val="0"/>
          <w:bCs w:val="0"/>
          <w:kern w:val="0"/>
          <w:szCs w:val="21"/>
          <w:lang w:eastAsia="zh-CN"/>
        </w:rPr>
        <w:t>，</w:t>
      </w:r>
      <w:r>
        <w:rPr>
          <w:rFonts w:hint="default" w:cs="Arial" w:asciiTheme="minorEastAsia" w:hAnsiTheme="minorEastAsia" w:eastAsiaTheme="minorEastAsia"/>
          <w:b w:val="0"/>
          <w:bCs w:val="0"/>
          <w:kern w:val="0"/>
          <w:szCs w:val="21"/>
        </w:rPr>
        <w:t>甲方</w:t>
      </w:r>
      <w:r>
        <w:rPr>
          <w:rFonts w:hint="eastAsia" w:cs="Arial" w:asciiTheme="minorEastAsia" w:hAnsiTheme="minorEastAsia" w:eastAsiaTheme="minorEastAsia"/>
          <w:b w:val="0"/>
          <w:bCs w:val="0"/>
          <w:kern w:val="0"/>
          <w:szCs w:val="21"/>
        </w:rPr>
        <w:t>应当在变更发生后下一个自然月的前</w:t>
      </w:r>
      <w:r>
        <w:rPr>
          <w:rFonts w:hint="default" w:cs="Arial" w:asciiTheme="minorEastAsia" w:hAnsiTheme="minorEastAsia" w:eastAsiaTheme="minorEastAsia"/>
          <w:b w:val="0"/>
          <w:bCs w:val="0"/>
          <w:kern w:val="0"/>
          <w:szCs w:val="21"/>
        </w:rPr>
        <w:t>3</w:t>
      </w:r>
      <w:r>
        <w:rPr>
          <w:rFonts w:hint="eastAsia" w:cs="Arial" w:asciiTheme="minorEastAsia" w:hAnsiTheme="minorEastAsia" w:eastAsiaTheme="minorEastAsia"/>
          <w:b w:val="0"/>
          <w:bCs w:val="0"/>
          <w:kern w:val="0"/>
          <w:szCs w:val="21"/>
        </w:rPr>
        <w:t>个交易日内</w:t>
      </w:r>
      <w:r>
        <w:rPr>
          <w:rFonts w:hint="default" w:cs="Arial" w:asciiTheme="minorEastAsia" w:hAnsiTheme="minorEastAsia" w:eastAsiaTheme="minorEastAsia"/>
          <w:b w:val="0"/>
          <w:bCs w:val="0"/>
          <w:kern w:val="0"/>
          <w:szCs w:val="21"/>
        </w:rPr>
        <w:t>向乙方</w:t>
      </w:r>
      <w:r>
        <w:rPr>
          <w:rFonts w:hint="eastAsia" w:cs="Arial" w:asciiTheme="minorEastAsia" w:hAnsiTheme="minorEastAsia" w:eastAsiaTheme="minorEastAsia"/>
          <w:b w:val="0"/>
          <w:bCs w:val="0"/>
          <w:kern w:val="0"/>
          <w:szCs w:val="21"/>
        </w:rPr>
        <w:t>进行变更报告。</w:t>
      </w:r>
    </w:p>
    <w:p>
      <w:pPr>
        <w:ind w:firstLine="426" w:firstLineChars="202"/>
        <w:rPr>
          <w:rFonts w:hint="eastAsia" w:cs="Arial" w:asciiTheme="minorEastAsia" w:hAnsiTheme="minorEastAsia" w:eastAsiaTheme="minorEastAsia"/>
          <w:b w:val="0"/>
          <w:bCs w:val="0"/>
          <w:kern w:val="0"/>
          <w:szCs w:val="21"/>
        </w:rPr>
      </w:pPr>
      <w:r>
        <w:rPr>
          <w:rFonts w:hint="default" w:cs="Arial" w:asciiTheme="minorEastAsia" w:hAnsiTheme="minorEastAsia" w:eastAsiaTheme="minorEastAsia"/>
          <w:b/>
          <w:bCs/>
          <w:kern w:val="0"/>
          <w:szCs w:val="21"/>
          <w:lang w:val="en-US" w:eastAsia="zh-CN"/>
        </w:rPr>
        <w:t>第二十</w:t>
      </w:r>
      <w:r>
        <w:rPr>
          <w:rFonts w:hint="eastAsia" w:cs="Arial" w:asciiTheme="minorEastAsia" w:hAnsiTheme="minorEastAsia" w:eastAsiaTheme="minorEastAsia"/>
          <w:b/>
          <w:bCs/>
          <w:kern w:val="0"/>
          <w:szCs w:val="21"/>
          <w:lang w:val="en-US" w:eastAsia="zh-CN"/>
        </w:rPr>
        <w:t>四</w:t>
      </w:r>
      <w:r>
        <w:rPr>
          <w:rFonts w:hint="default" w:cs="Arial" w:asciiTheme="minorEastAsia" w:hAnsiTheme="minorEastAsia" w:eastAsiaTheme="minorEastAsia"/>
          <w:b/>
          <w:bCs/>
          <w:kern w:val="0"/>
          <w:szCs w:val="21"/>
          <w:lang w:val="en-US" w:eastAsia="zh-CN"/>
        </w:rPr>
        <w:t>条</w:t>
      </w:r>
      <w:r>
        <w:rPr>
          <w:rFonts w:hint="default" w:cs="Arial" w:asciiTheme="minorEastAsia" w:hAnsiTheme="minorEastAsia" w:eastAsiaTheme="minorEastAsia"/>
          <w:b w:val="0"/>
          <w:bCs w:val="0"/>
          <w:kern w:val="0"/>
          <w:szCs w:val="21"/>
          <w:lang w:val="en-US" w:eastAsia="zh-CN"/>
        </w:rPr>
        <w:t xml:space="preserve">  </w:t>
      </w:r>
      <w:r>
        <w:rPr>
          <w:rFonts w:hint="eastAsia" w:cs="Arial" w:asciiTheme="minorEastAsia" w:hAnsiTheme="minorEastAsia" w:eastAsiaTheme="minorEastAsia"/>
          <w:b w:val="0"/>
          <w:bCs w:val="0"/>
          <w:kern w:val="0"/>
          <w:szCs w:val="21"/>
        </w:rPr>
        <w:t>程序化交易</w:t>
      </w:r>
      <w:r>
        <w:rPr>
          <w:rFonts w:hint="default" w:cs="Arial" w:asciiTheme="minorEastAsia" w:hAnsiTheme="minorEastAsia" w:eastAsiaTheme="minorEastAsia"/>
          <w:b w:val="0"/>
          <w:bCs w:val="0"/>
          <w:kern w:val="0"/>
          <w:szCs w:val="21"/>
        </w:rPr>
        <w:t>若存在业务规则中所述的重点关注情况，甲方应当按照交易所业务规则要求向乙方进行补充报告。甲方已知悉乙方依据</w:t>
      </w:r>
      <w:r>
        <w:rPr>
          <w:rFonts w:hint="eastAsia" w:cs="Arial" w:asciiTheme="minorEastAsia" w:hAnsiTheme="minorEastAsia" w:eastAsiaTheme="minorEastAsia"/>
          <w:b w:val="0"/>
          <w:bCs w:val="0"/>
          <w:kern w:val="0"/>
          <w:szCs w:val="21"/>
        </w:rPr>
        <w:t>程序化交易监测机制</w:t>
      </w:r>
      <w:r>
        <w:rPr>
          <w:rFonts w:hint="default" w:cs="Arial" w:asciiTheme="minorEastAsia" w:hAnsiTheme="minorEastAsia" w:eastAsiaTheme="minorEastAsia"/>
          <w:b w:val="0"/>
          <w:bCs w:val="0"/>
          <w:kern w:val="0"/>
          <w:szCs w:val="21"/>
        </w:rPr>
        <w:t>进行监测，甲方</w:t>
      </w:r>
      <w:r>
        <w:rPr>
          <w:rFonts w:hint="eastAsia" w:cs="Arial" w:asciiTheme="minorEastAsia" w:hAnsiTheme="minorEastAsia" w:eastAsiaTheme="minorEastAsia"/>
          <w:b w:val="0"/>
          <w:bCs w:val="0"/>
          <w:kern w:val="0"/>
          <w:szCs w:val="21"/>
        </w:rPr>
        <w:t>交易行为</w:t>
      </w:r>
      <w:r>
        <w:rPr>
          <w:rFonts w:hint="default" w:cs="Arial" w:asciiTheme="minorEastAsia" w:hAnsiTheme="minorEastAsia" w:eastAsiaTheme="minorEastAsia"/>
          <w:b w:val="0"/>
          <w:bCs w:val="0"/>
          <w:kern w:val="0"/>
          <w:szCs w:val="21"/>
        </w:rPr>
        <w:t>达到报告要求的，甲方应当履行报告义务。程序化交易行为或</w:t>
      </w:r>
      <w:r>
        <w:rPr>
          <w:rFonts w:hint="eastAsia" w:cs="Arial" w:asciiTheme="minorEastAsia" w:hAnsiTheme="minorEastAsia" w:eastAsiaTheme="minorEastAsia"/>
          <w:b w:val="0"/>
          <w:bCs w:val="0"/>
          <w:kern w:val="0"/>
          <w:szCs w:val="21"/>
        </w:rPr>
        <w:t>交易量出现明显异常</w:t>
      </w:r>
      <w:r>
        <w:rPr>
          <w:rFonts w:hint="default" w:cs="Arial" w:asciiTheme="minorEastAsia" w:hAnsiTheme="minorEastAsia" w:eastAsiaTheme="minorEastAsia"/>
          <w:b w:val="0"/>
          <w:bCs w:val="0"/>
          <w:kern w:val="0"/>
          <w:szCs w:val="21"/>
        </w:rPr>
        <w:t>的，甲方应当积极配合乙方完成核查工作。</w:t>
      </w:r>
    </w:p>
    <w:p>
      <w:pPr>
        <w:ind w:firstLine="426" w:firstLineChars="202"/>
        <w:rPr>
          <w:rFonts w:hint="eastAsia" w:cs="Arial" w:asciiTheme="minorEastAsia" w:hAnsiTheme="minorEastAsia" w:eastAsiaTheme="minorEastAsia"/>
          <w:b/>
          <w:bCs/>
          <w:kern w:val="0"/>
          <w:szCs w:val="21"/>
        </w:rPr>
      </w:pPr>
      <w:r>
        <w:rPr>
          <w:rFonts w:hint="eastAsia" w:cs="Arial" w:asciiTheme="minorEastAsia" w:hAnsiTheme="minorEastAsia" w:eastAsiaTheme="minorEastAsia"/>
          <w:b/>
          <w:bCs/>
          <w:kern w:val="0"/>
          <w:szCs w:val="21"/>
          <w:lang w:val="en-US" w:eastAsia="zh-CN"/>
        </w:rPr>
        <w:t>第二十五条  甲方应当真实、准确、完整、及时履行报告义务。</w:t>
      </w:r>
      <w:r>
        <w:rPr>
          <w:rFonts w:hint="eastAsia" w:cs="Arial" w:asciiTheme="minorEastAsia" w:hAnsiTheme="minorEastAsia" w:eastAsiaTheme="minorEastAsia"/>
          <w:b/>
          <w:bCs/>
          <w:kern w:val="0"/>
          <w:szCs w:val="21"/>
        </w:rPr>
        <w:t>乙方有权对甲方报告的信息进行充分核查，经核查报告信息不实的，督促甲方按要求履行报告义务。对于经督促后仍不按要求报告，乙方有权拒绝接受其程序化交易委托，</w:t>
      </w:r>
      <w:r>
        <w:rPr>
          <w:rFonts w:hint="eastAsia" w:cs="Arial" w:asciiTheme="minorEastAsia" w:hAnsiTheme="minorEastAsia" w:eastAsiaTheme="minorEastAsia"/>
          <w:b/>
          <w:bCs/>
          <w:kern w:val="0"/>
          <w:szCs w:val="21"/>
          <w:lang w:val="en-US" w:eastAsia="zh-CN"/>
        </w:rPr>
        <w:t>关闭相关系统服务，</w:t>
      </w:r>
      <w:r>
        <w:rPr>
          <w:rFonts w:hint="eastAsia" w:cs="Arial" w:asciiTheme="minorEastAsia" w:hAnsiTheme="minorEastAsia" w:eastAsiaTheme="minorEastAsia"/>
          <w:b/>
          <w:bCs/>
          <w:kern w:val="0"/>
          <w:szCs w:val="21"/>
        </w:rPr>
        <w:t>并向证券交易所报告。</w:t>
      </w:r>
    </w:p>
    <w:p>
      <w:pPr>
        <w:pStyle w:val="2"/>
        <w:spacing w:after="0"/>
        <w:ind w:left="0" w:leftChars="0"/>
        <w:rPr>
          <w:rFonts w:asciiTheme="majorEastAsia" w:hAnsiTheme="majorEastAsia" w:eastAsiaTheme="majorEastAsia"/>
          <w:color w:val="auto"/>
          <w:sz w:val="21"/>
          <w:szCs w:val="21"/>
        </w:rPr>
      </w:pPr>
    </w:p>
    <w:p>
      <w:pPr>
        <w:pStyle w:val="2"/>
        <w:spacing w:after="0"/>
        <w:ind w:left="0" w:leftChars="0" w:firstLine="0" w:firstLineChars="0"/>
        <w:jc w:val="center"/>
        <w:rPr>
          <w:rFonts w:asciiTheme="majorEastAsia" w:hAnsiTheme="majorEastAsia" w:eastAsiaTheme="majorEastAsia"/>
          <w:b/>
          <w:bCs/>
          <w:color w:val="auto"/>
          <w:sz w:val="21"/>
          <w:szCs w:val="21"/>
        </w:rPr>
      </w:pPr>
      <w:r>
        <w:rPr>
          <w:rFonts w:hint="eastAsia" w:asciiTheme="majorEastAsia" w:hAnsiTheme="majorEastAsia" w:eastAsiaTheme="majorEastAsia"/>
          <w:b/>
          <w:bCs/>
          <w:color w:val="auto"/>
          <w:sz w:val="21"/>
          <w:szCs w:val="21"/>
        </w:rPr>
        <w:t>第三章</w:t>
      </w:r>
      <w:r>
        <w:rPr>
          <w:rFonts w:asciiTheme="majorEastAsia" w:hAnsiTheme="majorEastAsia" w:eastAsiaTheme="majorEastAsia"/>
          <w:b/>
          <w:bCs/>
          <w:color w:val="auto"/>
          <w:sz w:val="21"/>
          <w:szCs w:val="21"/>
        </w:rPr>
        <w:t xml:space="preserve">  违约责任及免责条款</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第二十</w:t>
      </w:r>
      <w:r>
        <w:rPr>
          <w:rFonts w:hint="eastAsia" w:asciiTheme="majorEastAsia" w:hAnsiTheme="majorEastAsia" w:eastAsiaTheme="majorEastAsia"/>
          <w:b/>
          <w:bCs/>
          <w:color w:val="auto"/>
          <w:sz w:val="21"/>
          <w:szCs w:val="21"/>
          <w:lang w:val="en-US" w:eastAsia="zh-CN"/>
        </w:rPr>
        <w:t>六</w:t>
      </w:r>
      <w:r>
        <w:rPr>
          <w:rFonts w:hint="eastAsia" w:asciiTheme="majorEastAsia" w:hAnsiTheme="majorEastAsia" w:eastAsiaTheme="majorEastAsia"/>
          <w:b/>
          <w:bCs/>
          <w:color w:val="auto"/>
          <w:sz w:val="21"/>
          <w:szCs w:val="21"/>
        </w:rPr>
        <w:t>条</w:t>
      </w:r>
      <w:r>
        <w:rPr>
          <w:rFonts w:asciiTheme="majorEastAsia" w:hAnsiTheme="majorEastAsia" w:eastAsiaTheme="majorEastAsia"/>
          <w:color w:val="auto"/>
          <w:sz w:val="21"/>
          <w:szCs w:val="21"/>
        </w:rPr>
        <w:t xml:space="preserve">  本协议签订后，任何一方不履行或不完全履行本协议约定条款的，即构成违约。违约方应当负责赔偿其违约行为给另一方造成的损失。任何一方违约时，另一方有权要求违约方继续履行本协议。</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第二十七条</w:t>
      </w:r>
      <w:r>
        <w:rPr>
          <w:rFonts w:asciiTheme="majorEastAsia" w:hAnsiTheme="majorEastAsia" w:eastAsiaTheme="majorEastAsia"/>
          <w:color w:val="auto"/>
          <w:sz w:val="21"/>
          <w:szCs w:val="21"/>
        </w:rPr>
        <w:t xml:space="preserve">  甲方出现资金、证券交收违约时，乙方有权要求甲方在约定时间内补足资金及证券，并承担相应的违约责任。若乙方因甲方违约行为为甲方垫付资金的，甲方应根据乙方要求归还垫付资金，并承担相应的违约责任。甲方未及时履行归还责任的，乙方有权对甲方的资金和证券进行处置，包括但不限于限制买入、限制资金转出和限制交易、扣划、强制平仓等，由此造成的全部损失和法律后果由甲方自行承担，给乙方造成损失的，乙方有权追偿。</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第二十八条</w:t>
      </w:r>
      <w:r>
        <w:rPr>
          <w:rFonts w:asciiTheme="majorEastAsia" w:hAnsiTheme="majorEastAsia" w:eastAsiaTheme="majorEastAsia"/>
          <w:color w:val="auto"/>
          <w:sz w:val="21"/>
          <w:szCs w:val="21"/>
        </w:rPr>
        <w:t xml:space="preserve">  乙方发现甲方的姓名或名称、有效身份证明文件及号码等基本信息、身份证明文件有效期过期需要变更的，甲方未在6个月内办理基本信息变更手续或未在身份证明文件过期90个自然日内办理身份证明文件有效期变更手续，且没有提出合理理由的，乙方有权对甲方账户采取包括但不限于限制买入、限制资金转出、限制转托管、限制撤销指定交易、暂停办理新业务、暂停或终止提供证券交易服务等措施，由此造成的任何后果、风险和损失，均由甲方自行承担。</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第二十九条</w:t>
      </w:r>
      <w:r>
        <w:rPr>
          <w:rFonts w:asciiTheme="majorEastAsia" w:hAnsiTheme="majorEastAsia" w:eastAsiaTheme="majorEastAsia"/>
          <w:color w:val="auto"/>
          <w:sz w:val="21"/>
          <w:szCs w:val="21"/>
        </w:rPr>
        <w:t xml:space="preserve">  如果甲方存在以下情形之一的，乙方有权拒绝甲方委托，暂停提供交易服务或终止与甲方的证券交易委托代理关系，由此造成的任何后果、风险和损失由甲方自行承担：</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1.违法违规使用账户；</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2.存在严重影响正常交易秩序的异常交易行为或涉嫌违法违规的交易行为；</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3.频繁发生异常交易行为；</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4.拒绝按规定、约定向监管机关或乙方提供身份信息、交易信息、账户实际控制人信息、受益所有人信息等；</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5.法律法规、监管规定、自律规则等规定的其他情形。</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第三十条</w:t>
      </w:r>
      <w:r>
        <w:rPr>
          <w:rFonts w:hint="eastAsia" w:asciiTheme="majorEastAsia" w:hAnsiTheme="majorEastAsia" w:eastAsiaTheme="majorEastAsia"/>
          <w:color w:val="auto"/>
          <w:sz w:val="21"/>
          <w:szCs w:val="21"/>
        </w:rPr>
        <w:t>　甲方应当妥善保管账户密码，由于密码泄露、保管不当或使用不当给甲方造成损失的，甲方自行承担全部经济损失和法律后果。</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第三十一条</w:t>
      </w:r>
      <w:r>
        <w:rPr>
          <w:rFonts w:hint="eastAsia" w:asciiTheme="majorEastAsia" w:hAnsiTheme="majorEastAsia" w:eastAsiaTheme="majorEastAsia"/>
          <w:color w:val="auto"/>
          <w:sz w:val="21"/>
          <w:szCs w:val="21"/>
        </w:rPr>
        <w:t>　甲方应妥善保管其身份信息、账户信息，因甲方保管不当给甲方造成损失的，乙方如无过错则不承担任何赔偿责任。</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第三十二条</w:t>
      </w:r>
      <w:r>
        <w:rPr>
          <w:rFonts w:asciiTheme="majorEastAsia" w:hAnsiTheme="majorEastAsia" w:eastAsiaTheme="majorEastAsia"/>
          <w:color w:val="auto"/>
          <w:sz w:val="21"/>
          <w:szCs w:val="21"/>
        </w:rPr>
        <w:t xml:space="preserve">  因地震、台风、水灾、火灾、战争、瘟疫、社会动乱及其他不可抗力因素导致的一方损失，另一方不承担任何赔偿责任。</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第三十三条</w:t>
      </w:r>
      <w:r>
        <w:rPr>
          <w:rFonts w:asciiTheme="majorEastAsia" w:hAnsiTheme="majorEastAsia" w:eastAsiaTheme="majorEastAsia"/>
          <w:color w:val="auto"/>
          <w:sz w:val="21"/>
          <w:szCs w:val="21"/>
        </w:rPr>
        <w:t xml:space="preserve">  因乙方不可预测或无法控制的信息系统故障、设备故障、通讯故障、电力故障等突发事故及其他非乙方人为因素，以及监管部门、自律组织等规定的其他免责情形，给甲方造成的损失，乙方如无过错则不承担任何赔偿责任。</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第三十四条</w:t>
      </w:r>
      <w:r>
        <w:rPr>
          <w:rFonts w:asciiTheme="majorEastAsia" w:hAnsiTheme="majorEastAsia" w:eastAsiaTheme="majorEastAsia"/>
          <w:color w:val="auto"/>
          <w:sz w:val="21"/>
          <w:szCs w:val="21"/>
        </w:rPr>
        <w:t xml:space="preserve">  本协议第</w:t>
      </w:r>
      <w:r>
        <w:rPr>
          <w:rFonts w:hint="eastAsia" w:asciiTheme="majorEastAsia" w:hAnsiTheme="majorEastAsia" w:eastAsiaTheme="majorEastAsia"/>
          <w:color w:val="auto"/>
          <w:sz w:val="21"/>
          <w:szCs w:val="21"/>
          <w:lang w:val="en-US" w:eastAsia="zh-CN"/>
        </w:rPr>
        <w:t>三</w:t>
      </w:r>
      <w:r>
        <w:rPr>
          <w:rFonts w:asciiTheme="majorEastAsia" w:hAnsiTheme="majorEastAsia" w:eastAsiaTheme="majorEastAsia"/>
          <w:color w:val="auto"/>
          <w:sz w:val="21"/>
          <w:szCs w:val="21"/>
        </w:rPr>
        <w:t>十</w:t>
      </w:r>
      <w:r>
        <w:rPr>
          <w:rFonts w:hint="eastAsia" w:asciiTheme="majorEastAsia" w:hAnsiTheme="majorEastAsia" w:eastAsiaTheme="majorEastAsia"/>
          <w:color w:val="auto"/>
          <w:sz w:val="21"/>
          <w:szCs w:val="21"/>
          <w:lang w:val="en-US" w:eastAsia="zh-CN"/>
        </w:rPr>
        <w:t>二</w:t>
      </w:r>
      <w:r>
        <w:rPr>
          <w:rFonts w:asciiTheme="majorEastAsia" w:hAnsiTheme="majorEastAsia" w:eastAsiaTheme="majorEastAsia"/>
          <w:color w:val="auto"/>
          <w:sz w:val="21"/>
          <w:szCs w:val="21"/>
        </w:rPr>
        <w:t>、</w:t>
      </w:r>
      <w:r>
        <w:rPr>
          <w:rFonts w:hint="eastAsia" w:asciiTheme="majorEastAsia" w:hAnsiTheme="majorEastAsia" w:eastAsiaTheme="majorEastAsia"/>
          <w:color w:val="auto"/>
          <w:sz w:val="21"/>
          <w:szCs w:val="21"/>
          <w:lang w:val="en-US" w:eastAsia="zh-CN"/>
        </w:rPr>
        <w:t>三</w:t>
      </w:r>
      <w:r>
        <w:rPr>
          <w:rFonts w:asciiTheme="majorEastAsia" w:hAnsiTheme="majorEastAsia" w:eastAsiaTheme="majorEastAsia"/>
          <w:color w:val="auto"/>
          <w:sz w:val="21"/>
          <w:szCs w:val="21"/>
        </w:rPr>
        <w:t>十</w:t>
      </w:r>
      <w:r>
        <w:rPr>
          <w:rFonts w:hint="eastAsia" w:asciiTheme="majorEastAsia" w:hAnsiTheme="majorEastAsia" w:eastAsiaTheme="majorEastAsia"/>
          <w:color w:val="auto"/>
          <w:sz w:val="21"/>
          <w:szCs w:val="21"/>
          <w:lang w:val="en-US" w:eastAsia="zh-CN"/>
        </w:rPr>
        <w:t>三</w:t>
      </w:r>
      <w:r>
        <w:rPr>
          <w:rFonts w:asciiTheme="majorEastAsia" w:hAnsiTheme="majorEastAsia" w:eastAsiaTheme="majorEastAsia"/>
          <w:color w:val="auto"/>
          <w:sz w:val="21"/>
          <w:szCs w:val="21"/>
        </w:rPr>
        <w:t>条所述事件发生后，乙方应当及时采取措施防止甲方损失可能的进一步扩大。</w:t>
      </w:r>
    </w:p>
    <w:p>
      <w:pPr>
        <w:pStyle w:val="2"/>
        <w:spacing w:after="0"/>
        <w:ind w:left="0" w:leftChars="0"/>
        <w:rPr>
          <w:rFonts w:asciiTheme="majorEastAsia" w:hAnsiTheme="majorEastAsia" w:eastAsiaTheme="majorEastAsia"/>
          <w:color w:val="auto"/>
          <w:sz w:val="21"/>
          <w:szCs w:val="21"/>
        </w:rPr>
      </w:pPr>
    </w:p>
    <w:p>
      <w:pPr>
        <w:pStyle w:val="2"/>
        <w:spacing w:after="0"/>
        <w:ind w:left="0" w:leftChars="0" w:firstLine="0" w:firstLineChars="0"/>
        <w:jc w:val="center"/>
        <w:rPr>
          <w:rFonts w:asciiTheme="majorEastAsia" w:hAnsiTheme="majorEastAsia" w:eastAsiaTheme="majorEastAsia"/>
          <w:b/>
          <w:bCs/>
          <w:color w:val="auto"/>
          <w:sz w:val="21"/>
          <w:szCs w:val="21"/>
        </w:rPr>
      </w:pPr>
      <w:r>
        <w:rPr>
          <w:rFonts w:hint="eastAsia" w:asciiTheme="majorEastAsia" w:hAnsiTheme="majorEastAsia" w:eastAsiaTheme="majorEastAsia"/>
          <w:b/>
          <w:bCs/>
          <w:color w:val="auto"/>
          <w:sz w:val="21"/>
          <w:szCs w:val="21"/>
        </w:rPr>
        <w:t>第四章</w:t>
      </w:r>
      <w:r>
        <w:rPr>
          <w:rFonts w:asciiTheme="majorEastAsia" w:hAnsiTheme="majorEastAsia" w:eastAsiaTheme="majorEastAsia"/>
          <w:b/>
          <w:bCs/>
          <w:color w:val="auto"/>
          <w:sz w:val="21"/>
          <w:szCs w:val="21"/>
        </w:rPr>
        <w:t xml:space="preserve">  纠纷解决</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第三十五条</w:t>
      </w:r>
      <w:r>
        <w:rPr>
          <w:rFonts w:asciiTheme="majorEastAsia" w:hAnsiTheme="majorEastAsia" w:eastAsiaTheme="majorEastAsia"/>
          <w:color w:val="auto"/>
          <w:sz w:val="21"/>
          <w:szCs w:val="21"/>
        </w:rPr>
        <w:t xml:space="preserve">  如出现涉及甲方财产继承或财产归属的事宜或纠纷，乙方均按公证机关出具的公证文件或司法机关出具的生效裁判文书办理。有关法律法规、监管规定、自律规则以及乙方业务规则另有规定的除外。</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第三十六条</w:t>
      </w:r>
      <w:r>
        <w:rPr>
          <w:rFonts w:asciiTheme="majorEastAsia" w:hAnsiTheme="majorEastAsia" w:eastAsiaTheme="majorEastAsia"/>
          <w:color w:val="auto"/>
          <w:sz w:val="21"/>
          <w:szCs w:val="21"/>
        </w:rPr>
        <w:t xml:space="preserve">  本协议未尽事宜，按照法律法规、监管规定、自律规则的规定协商解决。</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第三十七条</w:t>
      </w:r>
      <w:r>
        <w:rPr>
          <w:rFonts w:asciiTheme="majorEastAsia" w:hAnsiTheme="majorEastAsia" w:eastAsiaTheme="majorEastAsia"/>
          <w:b/>
          <w:bCs/>
          <w:color w:val="auto"/>
          <w:sz w:val="21"/>
          <w:szCs w:val="21"/>
        </w:rPr>
        <w:t xml:space="preserve"> </w:t>
      </w:r>
      <w:r>
        <w:rPr>
          <w:rFonts w:asciiTheme="majorEastAsia" w:hAnsiTheme="majorEastAsia" w:eastAsiaTheme="majorEastAsia"/>
          <w:color w:val="auto"/>
          <w:sz w:val="21"/>
          <w:szCs w:val="21"/>
        </w:rPr>
        <w:t xml:space="preserve"> 本协议执行中发生的争议，甲乙双方可以自行协商解决或向证券纠纷调解机构申请调解，若协商或调解不成，双方同意按以下第【</w:t>
      </w:r>
      <w:r>
        <w:rPr>
          <w:rFonts w:hint="eastAsia" w:asciiTheme="majorEastAsia" w:hAnsiTheme="majorEastAsia" w:eastAsiaTheme="majorEastAsia"/>
          <w:color w:val="auto"/>
          <w:sz w:val="21"/>
          <w:szCs w:val="21"/>
        </w:rPr>
        <w:t>2</w:t>
      </w:r>
      <w:r>
        <w:rPr>
          <w:rFonts w:asciiTheme="majorEastAsia" w:hAnsiTheme="majorEastAsia" w:eastAsiaTheme="majorEastAsia"/>
          <w:color w:val="auto"/>
          <w:sz w:val="21"/>
          <w:szCs w:val="21"/>
        </w:rPr>
        <w:t>】种方式解决：</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1.提交【    】仲裁委员会仲裁；</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2.向【</w:t>
      </w:r>
      <w:r>
        <w:rPr>
          <w:rFonts w:hint="eastAsia" w:asciiTheme="majorEastAsia" w:hAnsiTheme="majorEastAsia" w:eastAsiaTheme="majorEastAsia"/>
          <w:color w:val="auto"/>
          <w:sz w:val="21"/>
          <w:szCs w:val="21"/>
        </w:rPr>
        <w:t>乙方所在地</w:t>
      </w:r>
      <w:r>
        <w:rPr>
          <w:rFonts w:asciiTheme="majorEastAsia" w:hAnsiTheme="majorEastAsia" w:eastAsiaTheme="majorEastAsia"/>
          <w:color w:val="auto"/>
          <w:sz w:val="21"/>
          <w:szCs w:val="21"/>
        </w:rPr>
        <w:t>】人民法院提起诉讼。</w:t>
      </w:r>
    </w:p>
    <w:p>
      <w:pPr>
        <w:pStyle w:val="2"/>
        <w:spacing w:after="0"/>
        <w:ind w:left="0" w:leftChars="0" w:firstLine="0" w:firstLineChars="0"/>
        <w:rPr>
          <w:rFonts w:asciiTheme="majorEastAsia" w:hAnsiTheme="majorEastAsia" w:eastAsiaTheme="majorEastAsia"/>
          <w:color w:val="auto"/>
          <w:sz w:val="21"/>
          <w:szCs w:val="21"/>
        </w:rPr>
      </w:pPr>
    </w:p>
    <w:p>
      <w:pPr>
        <w:pStyle w:val="2"/>
        <w:spacing w:after="0"/>
        <w:ind w:left="0" w:leftChars="0" w:firstLine="0" w:firstLineChars="0"/>
        <w:jc w:val="center"/>
        <w:rPr>
          <w:rFonts w:asciiTheme="majorEastAsia" w:hAnsiTheme="majorEastAsia" w:eastAsiaTheme="majorEastAsia"/>
          <w:b/>
          <w:bCs/>
          <w:color w:val="auto"/>
          <w:sz w:val="21"/>
          <w:szCs w:val="21"/>
        </w:rPr>
      </w:pPr>
      <w:r>
        <w:rPr>
          <w:rFonts w:hint="eastAsia" w:asciiTheme="majorEastAsia" w:hAnsiTheme="majorEastAsia" w:eastAsiaTheme="majorEastAsia"/>
          <w:b/>
          <w:bCs/>
          <w:color w:val="auto"/>
          <w:sz w:val="21"/>
          <w:szCs w:val="21"/>
        </w:rPr>
        <w:t>第五章</w:t>
      </w:r>
      <w:r>
        <w:rPr>
          <w:rFonts w:asciiTheme="majorEastAsia" w:hAnsiTheme="majorEastAsia" w:eastAsiaTheme="majorEastAsia"/>
          <w:b/>
          <w:bCs/>
          <w:color w:val="auto"/>
          <w:sz w:val="21"/>
          <w:szCs w:val="21"/>
        </w:rPr>
        <w:t xml:space="preserve">  协议的生效、变更和终止</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第三十八条</w:t>
      </w:r>
      <w:r>
        <w:rPr>
          <w:rFonts w:asciiTheme="majorEastAsia" w:hAnsiTheme="majorEastAsia" w:eastAsiaTheme="majorEastAsia"/>
          <w:color w:val="auto"/>
          <w:sz w:val="21"/>
          <w:szCs w:val="21"/>
        </w:rPr>
        <w:t xml:space="preserve">  本协议可采用电子方式或纸质方式签署。本协议在以下条件均满足之日起生效：</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1.双方已签署了《证券公司客户账户开户协议》且已生效</w:t>
      </w:r>
      <w:r>
        <w:rPr>
          <w:rFonts w:hint="eastAsia" w:asciiTheme="majorEastAsia" w:hAnsiTheme="majorEastAsia" w:eastAsiaTheme="majorEastAsia"/>
          <w:color w:val="auto"/>
          <w:sz w:val="21"/>
          <w:szCs w:val="21"/>
          <w:lang w:eastAsia="zh-CN"/>
        </w:rPr>
        <w:t>；</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2.双方均已在本协议上签字盖章。其中，采用电子方式签署本协议的，双方电子签名与在纸质合同上手写签名或盖章具有同等法律效力，无须另行签署纸质协议。采用纸质方式签署本协议的，本协议一式两份，甲乙双方各执一份，每份具有同等的法律效力。</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第三十九条</w:t>
      </w:r>
      <w:r>
        <w:rPr>
          <w:rFonts w:asciiTheme="majorEastAsia" w:hAnsiTheme="majorEastAsia" w:eastAsiaTheme="majorEastAsia"/>
          <w:color w:val="auto"/>
          <w:sz w:val="21"/>
          <w:szCs w:val="21"/>
        </w:rPr>
        <w:t xml:space="preserve">  本协议签署并生效后，若有关法律法规、监管规定、自律规则修订，本协议相关条款与其中强制性规定发生冲突的，按新修订的法律法规、监管规定、自律规则办理，但本协议其他内容及条款继续有效。</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第四十条</w:t>
      </w:r>
      <w:r>
        <w:rPr>
          <w:rFonts w:asciiTheme="majorEastAsia" w:hAnsiTheme="majorEastAsia" w:eastAsiaTheme="majorEastAsia"/>
          <w:color w:val="auto"/>
          <w:sz w:val="21"/>
          <w:szCs w:val="21"/>
        </w:rPr>
        <w:t xml:space="preserve">  本协议签署并生效后，若前款所述法律法规、监管规定、自律规则修订，本协议相关条款与其中规定存在差异，乙方认为应据此修改或变更本协议的，有关内容将由乙方在其营业场所、网站、客户端以公告方式通知甲方，若甲方在七个交易日内不提出异议，则公告内容生效，并成为本协议组成部分，对甲乙双方均具有法律约束力。</w:t>
      </w:r>
    </w:p>
    <w:p>
      <w:pPr>
        <w:pStyle w:val="2"/>
        <w:spacing w:after="0"/>
        <w:ind w:left="0" w:leftChars="0"/>
        <w:rPr>
          <w:rFonts w:asciiTheme="majorEastAsia" w:hAnsiTheme="majorEastAsia" w:eastAsiaTheme="majorEastAsia"/>
          <w:color w:val="auto"/>
          <w:sz w:val="21"/>
          <w:szCs w:val="21"/>
        </w:rPr>
      </w:pPr>
      <w:r>
        <w:rPr>
          <w:rFonts w:hint="eastAsia" w:asciiTheme="majorEastAsia" w:hAnsiTheme="majorEastAsia" w:eastAsiaTheme="majorEastAsia"/>
          <w:color w:val="auto"/>
          <w:sz w:val="21"/>
          <w:szCs w:val="21"/>
        </w:rPr>
        <w:t>若甲方提出异议的，乙方有权解除与甲方的证券交易委托代理协议。</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w:t>
      </w:r>
      <w:r>
        <w:rPr>
          <w:rFonts w:hint="eastAsia" w:asciiTheme="majorEastAsia" w:hAnsiTheme="majorEastAsia" w:eastAsiaTheme="majorEastAsia"/>
          <w:b/>
          <w:bCs/>
          <w:color w:val="auto"/>
          <w:sz w:val="21"/>
          <w:szCs w:val="21"/>
          <w:lang w:val="en-US" w:eastAsia="zh-CN"/>
        </w:rPr>
        <w:t>四十一</w:t>
      </w:r>
      <w:r>
        <w:rPr>
          <w:rFonts w:hint="eastAsia" w:asciiTheme="majorEastAsia" w:hAnsiTheme="majorEastAsia" w:eastAsiaTheme="majorEastAsia"/>
          <w:b/>
          <w:bCs/>
          <w:color w:val="auto"/>
          <w:sz w:val="21"/>
          <w:szCs w:val="21"/>
        </w:rPr>
        <w:t>条</w:t>
      </w:r>
      <w:r>
        <w:rPr>
          <w:rFonts w:asciiTheme="majorEastAsia" w:hAnsiTheme="majorEastAsia" w:eastAsiaTheme="majorEastAsia"/>
          <w:color w:val="auto"/>
          <w:sz w:val="21"/>
          <w:szCs w:val="21"/>
        </w:rPr>
        <w:t xml:space="preserve">  乙方应及时为甲方办理撤销指定交易、证券资产转托管业务，但甲方账户存在如下情形之一的除外：</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1.甲方账户为不合格账户、休眠账户的；</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2.甲方账户上存在未完成清算或交收的；</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3.甲方账户上存在未了结债权债务的；</w:t>
      </w:r>
    </w:p>
    <w:p>
      <w:pPr>
        <w:pStyle w:val="2"/>
        <w:spacing w:after="0"/>
        <w:ind w:left="0" w:leftChars="0"/>
        <w:rPr>
          <w:rFonts w:hint="eastAsia" w:asciiTheme="majorEastAsia" w:hAnsiTheme="majorEastAsia" w:eastAsiaTheme="majorEastAsia"/>
          <w:color w:val="auto"/>
          <w:sz w:val="21"/>
          <w:szCs w:val="21"/>
          <w:lang w:eastAsia="zh-CN"/>
        </w:rPr>
      </w:pPr>
      <w:r>
        <w:rPr>
          <w:rFonts w:asciiTheme="majorEastAsia" w:hAnsiTheme="majorEastAsia" w:eastAsiaTheme="majorEastAsia"/>
          <w:color w:val="auto"/>
          <w:sz w:val="21"/>
          <w:szCs w:val="21"/>
        </w:rPr>
        <w:t>4.账户上存在未解除的限制措施</w:t>
      </w:r>
      <w:r>
        <w:rPr>
          <w:rFonts w:hint="eastAsia" w:asciiTheme="majorEastAsia" w:hAnsiTheme="majorEastAsia" w:eastAsiaTheme="majorEastAsia"/>
          <w:color w:val="auto"/>
          <w:sz w:val="21"/>
          <w:szCs w:val="21"/>
          <w:lang w:eastAsia="zh-CN"/>
        </w:rPr>
        <w:t>；</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5.甲方账户为异常状态（如司法冻结等情形）的；</w:t>
      </w:r>
    </w:p>
    <w:p>
      <w:pPr>
        <w:pStyle w:val="2"/>
        <w:spacing w:after="0"/>
        <w:ind w:left="0" w:leftChars="0"/>
        <w:rPr>
          <w:rFonts w:asciiTheme="majorEastAsia" w:hAnsiTheme="majorEastAsia" w:eastAsiaTheme="majorEastAsia"/>
          <w:color w:val="auto"/>
          <w:sz w:val="21"/>
          <w:szCs w:val="21"/>
        </w:rPr>
      </w:pPr>
      <w:r>
        <w:rPr>
          <w:rFonts w:asciiTheme="majorEastAsia" w:hAnsiTheme="majorEastAsia" w:eastAsiaTheme="majorEastAsia"/>
          <w:color w:val="auto"/>
          <w:sz w:val="21"/>
          <w:szCs w:val="21"/>
        </w:rPr>
        <w:t>6.相关法律法规、监管规定、自律规则或者双方约定的其他情形的。</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w:t>
      </w:r>
      <w:r>
        <w:rPr>
          <w:rFonts w:hint="eastAsia" w:asciiTheme="majorEastAsia" w:hAnsiTheme="majorEastAsia" w:eastAsiaTheme="majorEastAsia"/>
          <w:b/>
          <w:bCs/>
          <w:color w:val="auto"/>
          <w:sz w:val="21"/>
          <w:szCs w:val="21"/>
          <w:lang w:val="en-US" w:eastAsia="zh-CN"/>
        </w:rPr>
        <w:t>四十二</w:t>
      </w:r>
      <w:r>
        <w:rPr>
          <w:rFonts w:hint="eastAsia" w:asciiTheme="majorEastAsia" w:hAnsiTheme="majorEastAsia" w:eastAsiaTheme="majorEastAsia"/>
          <w:b/>
          <w:bCs/>
          <w:color w:val="auto"/>
          <w:sz w:val="21"/>
          <w:szCs w:val="21"/>
        </w:rPr>
        <w:t>条</w:t>
      </w:r>
      <w:r>
        <w:rPr>
          <w:rFonts w:asciiTheme="majorEastAsia" w:hAnsiTheme="majorEastAsia" w:eastAsiaTheme="majorEastAsia"/>
          <w:color w:val="auto"/>
          <w:sz w:val="21"/>
          <w:szCs w:val="21"/>
        </w:rPr>
        <w:t xml:space="preserve">  甲乙双方签署的《证券公司客户账户开户协议》终止或依照相关约定或相关法律法规的规定提前解除时,本协议自动终止。</w:t>
      </w:r>
    </w:p>
    <w:p>
      <w:pPr>
        <w:pStyle w:val="2"/>
        <w:spacing w:after="0"/>
        <w:ind w:left="0" w:leftChars="0"/>
        <w:rPr>
          <w:rFonts w:asciiTheme="majorEastAsia" w:hAnsiTheme="majorEastAsia" w:eastAsiaTheme="majorEastAsia"/>
          <w:color w:val="auto"/>
          <w:sz w:val="21"/>
          <w:szCs w:val="21"/>
        </w:rPr>
      </w:pPr>
    </w:p>
    <w:p>
      <w:pPr>
        <w:pStyle w:val="2"/>
        <w:spacing w:after="0"/>
        <w:ind w:left="0" w:leftChars="0" w:firstLine="0" w:firstLineChars="0"/>
        <w:jc w:val="center"/>
        <w:rPr>
          <w:rFonts w:asciiTheme="majorEastAsia" w:hAnsiTheme="majorEastAsia" w:eastAsiaTheme="majorEastAsia"/>
          <w:b/>
          <w:bCs/>
          <w:color w:val="auto"/>
          <w:sz w:val="21"/>
          <w:szCs w:val="21"/>
        </w:rPr>
      </w:pPr>
      <w:r>
        <w:rPr>
          <w:rFonts w:hint="eastAsia" w:asciiTheme="majorEastAsia" w:hAnsiTheme="majorEastAsia" w:eastAsiaTheme="majorEastAsia"/>
          <w:b/>
          <w:bCs/>
          <w:color w:val="auto"/>
          <w:sz w:val="21"/>
          <w:szCs w:val="21"/>
        </w:rPr>
        <w:t>第六章　附</w:t>
      </w:r>
      <w:r>
        <w:rPr>
          <w:rFonts w:asciiTheme="majorEastAsia" w:hAnsiTheme="majorEastAsia" w:eastAsiaTheme="majorEastAsia"/>
          <w:b/>
          <w:bCs/>
          <w:color w:val="auto"/>
          <w:sz w:val="21"/>
          <w:szCs w:val="21"/>
        </w:rPr>
        <w:t xml:space="preserve"> 则</w:t>
      </w:r>
    </w:p>
    <w:p>
      <w:pPr>
        <w:pStyle w:val="2"/>
        <w:spacing w:after="0"/>
        <w:ind w:left="0" w:leftChars="0" w:firstLine="422"/>
        <w:rPr>
          <w:rFonts w:asciiTheme="majorEastAsia" w:hAnsiTheme="majorEastAsia" w:eastAsiaTheme="majorEastAsia"/>
          <w:color w:val="auto"/>
          <w:sz w:val="21"/>
          <w:szCs w:val="21"/>
        </w:rPr>
      </w:pPr>
      <w:r>
        <w:rPr>
          <w:rFonts w:hint="eastAsia" w:asciiTheme="majorEastAsia" w:hAnsiTheme="majorEastAsia" w:eastAsiaTheme="majorEastAsia"/>
          <w:b/>
          <w:bCs/>
          <w:color w:val="auto"/>
          <w:sz w:val="21"/>
          <w:szCs w:val="21"/>
        </w:rPr>
        <w:t>第</w:t>
      </w:r>
      <w:r>
        <w:rPr>
          <w:rFonts w:hint="eastAsia" w:asciiTheme="majorEastAsia" w:hAnsiTheme="majorEastAsia" w:eastAsiaTheme="majorEastAsia"/>
          <w:b/>
          <w:bCs/>
          <w:color w:val="auto"/>
          <w:sz w:val="21"/>
          <w:szCs w:val="21"/>
          <w:lang w:val="en-US" w:eastAsia="zh-CN"/>
        </w:rPr>
        <w:t>四十三</w:t>
      </w:r>
      <w:r>
        <w:rPr>
          <w:rFonts w:hint="eastAsia" w:asciiTheme="majorEastAsia" w:hAnsiTheme="majorEastAsia" w:eastAsiaTheme="majorEastAsia"/>
          <w:b/>
          <w:bCs/>
          <w:color w:val="auto"/>
          <w:sz w:val="21"/>
          <w:szCs w:val="21"/>
        </w:rPr>
        <w:t>条</w:t>
      </w:r>
      <w:r>
        <w:rPr>
          <w:rFonts w:asciiTheme="majorEastAsia" w:hAnsiTheme="majorEastAsia" w:eastAsiaTheme="majorEastAsia"/>
          <w:b/>
          <w:bCs/>
          <w:color w:val="auto"/>
          <w:sz w:val="21"/>
          <w:szCs w:val="21"/>
        </w:rPr>
        <w:t xml:space="preserve"> </w:t>
      </w:r>
      <w:r>
        <w:rPr>
          <w:rFonts w:asciiTheme="majorEastAsia" w:hAnsiTheme="majorEastAsia" w:eastAsiaTheme="majorEastAsia"/>
          <w:color w:val="auto"/>
          <w:sz w:val="21"/>
          <w:szCs w:val="21"/>
        </w:rPr>
        <w:t xml:space="preserve"> 甲方委托乙方代理其他金融产品交易及其他相关事务的，如未另有协议约定，则参照本协议约定执行。</w:t>
      </w:r>
    </w:p>
    <w:p>
      <w:pPr>
        <w:pStyle w:val="2"/>
        <w:spacing w:after="0"/>
        <w:ind w:left="0" w:leftChars="0"/>
        <w:rPr>
          <w:rFonts w:asciiTheme="majorEastAsia" w:hAnsiTheme="majorEastAsia" w:eastAsiaTheme="majorEastAsia"/>
          <w:color w:val="auto"/>
          <w:sz w:val="21"/>
          <w:szCs w:val="21"/>
        </w:rPr>
      </w:pPr>
      <w:r>
        <w:rPr>
          <w:rFonts w:hint="eastAsia" w:asciiTheme="majorEastAsia" w:hAnsiTheme="majorEastAsia" w:eastAsiaTheme="majorEastAsia"/>
          <w:color w:val="auto"/>
          <w:sz w:val="21"/>
          <w:szCs w:val="21"/>
        </w:rPr>
        <w:t>本协议未作约定的，参照《证券公司客户账户开户协议》的约定执行。</w:t>
      </w:r>
    </w:p>
    <w:p>
      <w:pPr>
        <w:pStyle w:val="2"/>
        <w:spacing w:after="0"/>
        <w:ind w:left="0" w:leftChars="0" w:firstLine="422"/>
      </w:pPr>
      <w:r>
        <w:rPr>
          <w:rFonts w:hint="eastAsia" w:asciiTheme="majorEastAsia" w:hAnsiTheme="majorEastAsia" w:eastAsiaTheme="majorEastAsia"/>
          <w:b/>
          <w:bCs/>
          <w:color w:val="auto"/>
          <w:sz w:val="21"/>
          <w:szCs w:val="21"/>
        </w:rPr>
        <w:t>第</w:t>
      </w:r>
      <w:r>
        <w:rPr>
          <w:rFonts w:hint="eastAsia" w:asciiTheme="majorEastAsia" w:hAnsiTheme="majorEastAsia" w:eastAsiaTheme="majorEastAsia"/>
          <w:b/>
          <w:bCs/>
          <w:color w:val="auto"/>
          <w:sz w:val="21"/>
          <w:szCs w:val="21"/>
          <w:lang w:val="en-US" w:eastAsia="zh-CN"/>
        </w:rPr>
        <w:t>四十四</w:t>
      </w:r>
      <w:r>
        <w:rPr>
          <w:rFonts w:hint="eastAsia" w:asciiTheme="majorEastAsia" w:hAnsiTheme="majorEastAsia" w:eastAsiaTheme="majorEastAsia"/>
          <w:b/>
          <w:bCs/>
          <w:color w:val="auto"/>
          <w:sz w:val="21"/>
          <w:szCs w:val="21"/>
        </w:rPr>
        <w:t>条</w:t>
      </w:r>
      <w:r>
        <w:rPr>
          <w:rFonts w:asciiTheme="majorEastAsia" w:hAnsiTheme="majorEastAsia" w:eastAsiaTheme="majorEastAsia"/>
          <w:color w:val="auto"/>
          <w:sz w:val="21"/>
          <w:szCs w:val="21"/>
        </w:rPr>
        <w:t xml:space="preserve">  本协议所涉及名词、术语的解释，以法律法规的规定为准；法律法规没有解释的，适用中国证监会、证券交易场所、证券登记结算机构及其他金融市场登记结算机构和协会等监管规定、自律规则及行业惯例。</w:t>
      </w:r>
    </w:p>
    <w:p>
      <w:pPr>
        <w:pStyle w:val="2"/>
        <w:ind w:firstLine="400"/>
      </w:pPr>
    </w:p>
    <w:p>
      <w:pPr>
        <w:pStyle w:val="2"/>
        <w:ind w:firstLine="400"/>
      </w:pPr>
    </w:p>
    <w:p>
      <w:pPr>
        <w:pStyle w:val="2"/>
        <w:ind w:left="0" w:leftChars="0" w:firstLine="0" w:firstLineChars="0"/>
        <w:rPr>
          <w:b/>
          <w:bCs/>
          <w:color w:val="auto"/>
          <w:sz w:val="24"/>
        </w:rPr>
      </w:pPr>
    </w:p>
    <w:sectPr>
      <w:footerReference r:id="rId3" w:type="default"/>
      <w:footerReference r:id="rId4" w:type="even"/>
      <w:pgSz w:w="11906" w:h="16838"/>
      <w:pgMar w:top="2098" w:right="1474" w:bottom="1985" w:left="1388"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iti SC Medium">
    <w:altName w:val="Yu Gothic"/>
    <w:panose1 w:val="00000000000000000000"/>
    <w:charset w:val="80"/>
    <w:family w:val="auto"/>
    <w:pitch w:val="default"/>
    <w:sig w:usb0="00000000" w:usb1="00000000" w:usb2="00000010" w:usb3="00000000" w:csb0="003E0001"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汉仪细等线简">
    <w:altName w:val="宋体"/>
    <w:panose1 w:val="00000000000000000000"/>
    <w:charset w:val="86"/>
    <w:family w:val="modern"/>
    <w:pitch w:val="default"/>
    <w:sig w:usb0="00000000" w:usb1="00000000" w:usb2="00000012"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420" w:rightChars="20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left="420" w:leftChars="2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94E90"/>
    <w:multiLevelType w:val="multilevel"/>
    <w:tmpl w:val="03394E9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34"/>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09"/>
    <w:rsid w:val="0000129D"/>
    <w:rsid w:val="00001647"/>
    <w:rsid w:val="0000173D"/>
    <w:rsid w:val="0000191D"/>
    <w:rsid w:val="00001BCB"/>
    <w:rsid w:val="00002DB4"/>
    <w:rsid w:val="00003EFB"/>
    <w:rsid w:val="0000443B"/>
    <w:rsid w:val="00004CE2"/>
    <w:rsid w:val="000052AA"/>
    <w:rsid w:val="000054E0"/>
    <w:rsid w:val="0000648D"/>
    <w:rsid w:val="00007B59"/>
    <w:rsid w:val="0001059D"/>
    <w:rsid w:val="000106EF"/>
    <w:rsid w:val="00010833"/>
    <w:rsid w:val="000108D0"/>
    <w:rsid w:val="00011991"/>
    <w:rsid w:val="00012306"/>
    <w:rsid w:val="00012C31"/>
    <w:rsid w:val="00012D02"/>
    <w:rsid w:val="00013108"/>
    <w:rsid w:val="00013E58"/>
    <w:rsid w:val="00014060"/>
    <w:rsid w:val="000162D0"/>
    <w:rsid w:val="0001659C"/>
    <w:rsid w:val="00016B91"/>
    <w:rsid w:val="00017072"/>
    <w:rsid w:val="00017557"/>
    <w:rsid w:val="000205BA"/>
    <w:rsid w:val="00021378"/>
    <w:rsid w:val="00022E12"/>
    <w:rsid w:val="00022F45"/>
    <w:rsid w:val="0002375E"/>
    <w:rsid w:val="00024024"/>
    <w:rsid w:val="0002428B"/>
    <w:rsid w:val="00024601"/>
    <w:rsid w:val="0002476F"/>
    <w:rsid w:val="0002480F"/>
    <w:rsid w:val="000251CF"/>
    <w:rsid w:val="00026CBC"/>
    <w:rsid w:val="00027833"/>
    <w:rsid w:val="00027F7B"/>
    <w:rsid w:val="00030246"/>
    <w:rsid w:val="0003157C"/>
    <w:rsid w:val="00032CBE"/>
    <w:rsid w:val="00034043"/>
    <w:rsid w:val="00034625"/>
    <w:rsid w:val="0003479C"/>
    <w:rsid w:val="000363FE"/>
    <w:rsid w:val="000366E1"/>
    <w:rsid w:val="0003790E"/>
    <w:rsid w:val="00037C58"/>
    <w:rsid w:val="00040064"/>
    <w:rsid w:val="00040B22"/>
    <w:rsid w:val="0004262A"/>
    <w:rsid w:val="00042956"/>
    <w:rsid w:val="00043236"/>
    <w:rsid w:val="0004479E"/>
    <w:rsid w:val="00044A17"/>
    <w:rsid w:val="00044C62"/>
    <w:rsid w:val="0004564D"/>
    <w:rsid w:val="00046366"/>
    <w:rsid w:val="0004697A"/>
    <w:rsid w:val="00050653"/>
    <w:rsid w:val="00050800"/>
    <w:rsid w:val="000514B4"/>
    <w:rsid w:val="00052200"/>
    <w:rsid w:val="000529E7"/>
    <w:rsid w:val="00052F40"/>
    <w:rsid w:val="00053350"/>
    <w:rsid w:val="000543B7"/>
    <w:rsid w:val="0005513D"/>
    <w:rsid w:val="000553D8"/>
    <w:rsid w:val="000558A1"/>
    <w:rsid w:val="00056884"/>
    <w:rsid w:val="00056E76"/>
    <w:rsid w:val="0006088C"/>
    <w:rsid w:val="00061B07"/>
    <w:rsid w:val="00061F5A"/>
    <w:rsid w:val="00062071"/>
    <w:rsid w:val="0006244D"/>
    <w:rsid w:val="000632B7"/>
    <w:rsid w:val="00063522"/>
    <w:rsid w:val="00064779"/>
    <w:rsid w:val="000647C9"/>
    <w:rsid w:val="00064CE7"/>
    <w:rsid w:val="00065494"/>
    <w:rsid w:val="00065BDD"/>
    <w:rsid w:val="00065E07"/>
    <w:rsid w:val="00066106"/>
    <w:rsid w:val="000669BA"/>
    <w:rsid w:val="000673B5"/>
    <w:rsid w:val="000677C6"/>
    <w:rsid w:val="00070F8A"/>
    <w:rsid w:val="0007167B"/>
    <w:rsid w:val="000723A3"/>
    <w:rsid w:val="00072D84"/>
    <w:rsid w:val="0007393F"/>
    <w:rsid w:val="000740B5"/>
    <w:rsid w:val="00075A75"/>
    <w:rsid w:val="000765B3"/>
    <w:rsid w:val="00076B82"/>
    <w:rsid w:val="00077F81"/>
    <w:rsid w:val="000803B1"/>
    <w:rsid w:val="000809DD"/>
    <w:rsid w:val="00080F3C"/>
    <w:rsid w:val="00083000"/>
    <w:rsid w:val="000831B0"/>
    <w:rsid w:val="0008346F"/>
    <w:rsid w:val="00083510"/>
    <w:rsid w:val="0008431A"/>
    <w:rsid w:val="0008537A"/>
    <w:rsid w:val="000856DE"/>
    <w:rsid w:val="00086F62"/>
    <w:rsid w:val="00086FB1"/>
    <w:rsid w:val="00087071"/>
    <w:rsid w:val="00087355"/>
    <w:rsid w:val="000874B9"/>
    <w:rsid w:val="00087548"/>
    <w:rsid w:val="00092AD2"/>
    <w:rsid w:val="0009397E"/>
    <w:rsid w:val="0009457D"/>
    <w:rsid w:val="00094753"/>
    <w:rsid w:val="00096446"/>
    <w:rsid w:val="000A100A"/>
    <w:rsid w:val="000A18E7"/>
    <w:rsid w:val="000A1AEC"/>
    <w:rsid w:val="000A25C4"/>
    <w:rsid w:val="000A2796"/>
    <w:rsid w:val="000A2865"/>
    <w:rsid w:val="000A292F"/>
    <w:rsid w:val="000A2E8D"/>
    <w:rsid w:val="000A4568"/>
    <w:rsid w:val="000A4D7C"/>
    <w:rsid w:val="000A545A"/>
    <w:rsid w:val="000A55C3"/>
    <w:rsid w:val="000A5F69"/>
    <w:rsid w:val="000A6439"/>
    <w:rsid w:val="000A66A5"/>
    <w:rsid w:val="000A788A"/>
    <w:rsid w:val="000B1063"/>
    <w:rsid w:val="000B1089"/>
    <w:rsid w:val="000B111E"/>
    <w:rsid w:val="000B189C"/>
    <w:rsid w:val="000B19CA"/>
    <w:rsid w:val="000B1B83"/>
    <w:rsid w:val="000B2FCD"/>
    <w:rsid w:val="000B2FDB"/>
    <w:rsid w:val="000B41D4"/>
    <w:rsid w:val="000B4D75"/>
    <w:rsid w:val="000B5815"/>
    <w:rsid w:val="000B5C03"/>
    <w:rsid w:val="000B6C12"/>
    <w:rsid w:val="000B709C"/>
    <w:rsid w:val="000C05F6"/>
    <w:rsid w:val="000C0790"/>
    <w:rsid w:val="000C09EA"/>
    <w:rsid w:val="000C1685"/>
    <w:rsid w:val="000C1E15"/>
    <w:rsid w:val="000C22EE"/>
    <w:rsid w:val="000C2752"/>
    <w:rsid w:val="000C28DC"/>
    <w:rsid w:val="000C2FD0"/>
    <w:rsid w:val="000C3774"/>
    <w:rsid w:val="000C39FD"/>
    <w:rsid w:val="000C3D6B"/>
    <w:rsid w:val="000C4339"/>
    <w:rsid w:val="000C52CF"/>
    <w:rsid w:val="000C5CA5"/>
    <w:rsid w:val="000C6E62"/>
    <w:rsid w:val="000D0000"/>
    <w:rsid w:val="000D02B7"/>
    <w:rsid w:val="000D07B2"/>
    <w:rsid w:val="000D0BAA"/>
    <w:rsid w:val="000D13AF"/>
    <w:rsid w:val="000D1BFF"/>
    <w:rsid w:val="000D22C3"/>
    <w:rsid w:val="000D29BA"/>
    <w:rsid w:val="000D304A"/>
    <w:rsid w:val="000D3709"/>
    <w:rsid w:val="000D4722"/>
    <w:rsid w:val="000D4D59"/>
    <w:rsid w:val="000D4F59"/>
    <w:rsid w:val="000D54EA"/>
    <w:rsid w:val="000D5661"/>
    <w:rsid w:val="000D5FEF"/>
    <w:rsid w:val="000D6102"/>
    <w:rsid w:val="000D76B4"/>
    <w:rsid w:val="000D7B25"/>
    <w:rsid w:val="000D7C0E"/>
    <w:rsid w:val="000D7E60"/>
    <w:rsid w:val="000E0E95"/>
    <w:rsid w:val="000E16E2"/>
    <w:rsid w:val="000E19BA"/>
    <w:rsid w:val="000E2250"/>
    <w:rsid w:val="000E2603"/>
    <w:rsid w:val="000E2E1F"/>
    <w:rsid w:val="000E428A"/>
    <w:rsid w:val="000E506B"/>
    <w:rsid w:val="000E5E2D"/>
    <w:rsid w:val="000E6755"/>
    <w:rsid w:val="000E6A78"/>
    <w:rsid w:val="000E6C83"/>
    <w:rsid w:val="000F0BF5"/>
    <w:rsid w:val="000F1A5C"/>
    <w:rsid w:val="000F1E90"/>
    <w:rsid w:val="000F1EA9"/>
    <w:rsid w:val="000F1FE9"/>
    <w:rsid w:val="000F2B7D"/>
    <w:rsid w:val="000F4381"/>
    <w:rsid w:val="000F509F"/>
    <w:rsid w:val="000F5771"/>
    <w:rsid w:val="000F6666"/>
    <w:rsid w:val="000F6EB0"/>
    <w:rsid w:val="000F7992"/>
    <w:rsid w:val="000F7A0A"/>
    <w:rsid w:val="000F7B60"/>
    <w:rsid w:val="001005BE"/>
    <w:rsid w:val="0010191A"/>
    <w:rsid w:val="00101C72"/>
    <w:rsid w:val="001028EA"/>
    <w:rsid w:val="001034C7"/>
    <w:rsid w:val="001038FD"/>
    <w:rsid w:val="00103A59"/>
    <w:rsid w:val="00104CCB"/>
    <w:rsid w:val="0010547E"/>
    <w:rsid w:val="00105694"/>
    <w:rsid w:val="00106739"/>
    <w:rsid w:val="00106747"/>
    <w:rsid w:val="00106BD2"/>
    <w:rsid w:val="001072C6"/>
    <w:rsid w:val="00107B48"/>
    <w:rsid w:val="00107F76"/>
    <w:rsid w:val="0011075D"/>
    <w:rsid w:val="00112A9D"/>
    <w:rsid w:val="00113172"/>
    <w:rsid w:val="001136A9"/>
    <w:rsid w:val="00113BC1"/>
    <w:rsid w:val="00113E55"/>
    <w:rsid w:val="00113FAF"/>
    <w:rsid w:val="0011432B"/>
    <w:rsid w:val="00114C45"/>
    <w:rsid w:val="00120B39"/>
    <w:rsid w:val="00120CE3"/>
    <w:rsid w:val="0012148B"/>
    <w:rsid w:val="00121E41"/>
    <w:rsid w:val="0012291E"/>
    <w:rsid w:val="00126254"/>
    <w:rsid w:val="00126F88"/>
    <w:rsid w:val="001270BE"/>
    <w:rsid w:val="00130272"/>
    <w:rsid w:val="00130395"/>
    <w:rsid w:val="001306E8"/>
    <w:rsid w:val="001312CB"/>
    <w:rsid w:val="001320B4"/>
    <w:rsid w:val="00132CD7"/>
    <w:rsid w:val="001346DF"/>
    <w:rsid w:val="00134850"/>
    <w:rsid w:val="00135C95"/>
    <w:rsid w:val="00136097"/>
    <w:rsid w:val="00136978"/>
    <w:rsid w:val="00136AD1"/>
    <w:rsid w:val="001372DD"/>
    <w:rsid w:val="00140487"/>
    <w:rsid w:val="00140EDE"/>
    <w:rsid w:val="00141CFD"/>
    <w:rsid w:val="001424E1"/>
    <w:rsid w:val="00143499"/>
    <w:rsid w:val="00144991"/>
    <w:rsid w:val="00146794"/>
    <w:rsid w:val="00146835"/>
    <w:rsid w:val="00147886"/>
    <w:rsid w:val="00150010"/>
    <w:rsid w:val="00150206"/>
    <w:rsid w:val="0015137D"/>
    <w:rsid w:val="001523A3"/>
    <w:rsid w:val="00152F8F"/>
    <w:rsid w:val="001530A7"/>
    <w:rsid w:val="00153F0A"/>
    <w:rsid w:val="00153FE0"/>
    <w:rsid w:val="00154CAD"/>
    <w:rsid w:val="00156B1F"/>
    <w:rsid w:val="00157210"/>
    <w:rsid w:val="00157457"/>
    <w:rsid w:val="00157FE7"/>
    <w:rsid w:val="0016013D"/>
    <w:rsid w:val="00160860"/>
    <w:rsid w:val="00160BCD"/>
    <w:rsid w:val="0016123B"/>
    <w:rsid w:val="00161682"/>
    <w:rsid w:val="00161B61"/>
    <w:rsid w:val="00162C43"/>
    <w:rsid w:val="00164673"/>
    <w:rsid w:val="001647C0"/>
    <w:rsid w:val="0016525B"/>
    <w:rsid w:val="00165311"/>
    <w:rsid w:val="00165EF6"/>
    <w:rsid w:val="001661DA"/>
    <w:rsid w:val="001663E7"/>
    <w:rsid w:val="0016761C"/>
    <w:rsid w:val="00167DF0"/>
    <w:rsid w:val="00167F62"/>
    <w:rsid w:val="0017096D"/>
    <w:rsid w:val="0017165B"/>
    <w:rsid w:val="0017294F"/>
    <w:rsid w:val="00173472"/>
    <w:rsid w:val="00173D1B"/>
    <w:rsid w:val="00174888"/>
    <w:rsid w:val="00174AFC"/>
    <w:rsid w:val="00175240"/>
    <w:rsid w:val="0017653D"/>
    <w:rsid w:val="00176751"/>
    <w:rsid w:val="0017710E"/>
    <w:rsid w:val="001775F9"/>
    <w:rsid w:val="001802DF"/>
    <w:rsid w:val="00180FCA"/>
    <w:rsid w:val="001815EB"/>
    <w:rsid w:val="0018259E"/>
    <w:rsid w:val="00182DE4"/>
    <w:rsid w:val="0018377C"/>
    <w:rsid w:val="001840C6"/>
    <w:rsid w:val="001843BA"/>
    <w:rsid w:val="0018516E"/>
    <w:rsid w:val="00186830"/>
    <w:rsid w:val="00186CAB"/>
    <w:rsid w:val="00186D8B"/>
    <w:rsid w:val="00190FD7"/>
    <w:rsid w:val="00191C4C"/>
    <w:rsid w:val="00192A0D"/>
    <w:rsid w:val="00192D79"/>
    <w:rsid w:val="001946BE"/>
    <w:rsid w:val="00194B3C"/>
    <w:rsid w:val="00194C8C"/>
    <w:rsid w:val="001953B3"/>
    <w:rsid w:val="00196160"/>
    <w:rsid w:val="001963D5"/>
    <w:rsid w:val="001963DE"/>
    <w:rsid w:val="00196865"/>
    <w:rsid w:val="001A0127"/>
    <w:rsid w:val="001A062A"/>
    <w:rsid w:val="001A222D"/>
    <w:rsid w:val="001A2277"/>
    <w:rsid w:val="001A2F6B"/>
    <w:rsid w:val="001A34DB"/>
    <w:rsid w:val="001A35CB"/>
    <w:rsid w:val="001A446F"/>
    <w:rsid w:val="001A4C4D"/>
    <w:rsid w:val="001A4E8A"/>
    <w:rsid w:val="001A50A2"/>
    <w:rsid w:val="001A51BF"/>
    <w:rsid w:val="001B02FA"/>
    <w:rsid w:val="001B16E4"/>
    <w:rsid w:val="001B1B7F"/>
    <w:rsid w:val="001B28DB"/>
    <w:rsid w:val="001B2B8D"/>
    <w:rsid w:val="001B318D"/>
    <w:rsid w:val="001B33F1"/>
    <w:rsid w:val="001B65B4"/>
    <w:rsid w:val="001B68C1"/>
    <w:rsid w:val="001B6B7C"/>
    <w:rsid w:val="001B6E06"/>
    <w:rsid w:val="001B707C"/>
    <w:rsid w:val="001C0011"/>
    <w:rsid w:val="001C0B6B"/>
    <w:rsid w:val="001C1336"/>
    <w:rsid w:val="001C3795"/>
    <w:rsid w:val="001C3857"/>
    <w:rsid w:val="001C39F5"/>
    <w:rsid w:val="001C3F3D"/>
    <w:rsid w:val="001C3FAA"/>
    <w:rsid w:val="001C3FAE"/>
    <w:rsid w:val="001C5410"/>
    <w:rsid w:val="001C58D5"/>
    <w:rsid w:val="001C6027"/>
    <w:rsid w:val="001C6DFD"/>
    <w:rsid w:val="001C71BA"/>
    <w:rsid w:val="001C7376"/>
    <w:rsid w:val="001C7532"/>
    <w:rsid w:val="001C789B"/>
    <w:rsid w:val="001C7DE5"/>
    <w:rsid w:val="001D0084"/>
    <w:rsid w:val="001D00AE"/>
    <w:rsid w:val="001D0310"/>
    <w:rsid w:val="001D298B"/>
    <w:rsid w:val="001D42A9"/>
    <w:rsid w:val="001D433E"/>
    <w:rsid w:val="001D43D8"/>
    <w:rsid w:val="001D6400"/>
    <w:rsid w:val="001D7233"/>
    <w:rsid w:val="001D7583"/>
    <w:rsid w:val="001D7598"/>
    <w:rsid w:val="001D7FA3"/>
    <w:rsid w:val="001E0452"/>
    <w:rsid w:val="001E04B6"/>
    <w:rsid w:val="001E0787"/>
    <w:rsid w:val="001E0DAF"/>
    <w:rsid w:val="001E0EAD"/>
    <w:rsid w:val="001E23C9"/>
    <w:rsid w:val="001E24C4"/>
    <w:rsid w:val="001E2892"/>
    <w:rsid w:val="001E433C"/>
    <w:rsid w:val="001E46D0"/>
    <w:rsid w:val="001E5FB1"/>
    <w:rsid w:val="001E5FD0"/>
    <w:rsid w:val="001E633C"/>
    <w:rsid w:val="001E6785"/>
    <w:rsid w:val="001E7261"/>
    <w:rsid w:val="001E773F"/>
    <w:rsid w:val="001E7B0A"/>
    <w:rsid w:val="001F0BF2"/>
    <w:rsid w:val="001F0FC0"/>
    <w:rsid w:val="001F2538"/>
    <w:rsid w:val="001F267A"/>
    <w:rsid w:val="001F367E"/>
    <w:rsid w:val="001F4CF9"/>
    <w:rsid w:val="001F541E"/>
    <w:rsid w:val="001F5EA2"/>
    <w:rsid w:val="001F6326"/>
    <w:rsid w:val="001F63F0"/>
    <w:rsid w:val="001F7543"/>
    <w:rsid w:val="00200827"/>
    <w:rsid w:val="00200CDD"/>
    <w:rsid w:val="002012D4"/>
    <w:rsid w:val="002017A2"/>
    <w:rsid w:val="002017BD"/>
    <w:rsid w:val="00202883"/>
    <w:rsid w:val="0020323C"/>
    <w:rsid w:val="0020510F"/>
    <w:rsid w:val="0020563A"/>
    <w:rsid w:val="00205720"/>
    <w:rsid w:val="00205ADC"/>
    <w:rsid w:val="00205F94"/>
    <w:rsid w:val="0020764B"/>
    <w:rsid w:val="0021049B"/>
    <w:rsid w:val="002108F3"/>
    <w:rsid w:val="00210B8B"/>
    <w:rsid w:val="00210EF5"/>
    <w:rsid w:val="002110B7"/>
    <w:rsid w:val="00211661"/>
    <w:rsid w:val="002117F8"/>
    <w:rsid w:val="00212024"/>
    <w:rsid w:val="00212220"/>
    <w:rsid w:val="00212248"/>
    <w:rsid w:val="002122C5"/>
    <w:rsid w:val="002124F3"/>
    <w:rsid w:val="002126C9"/>
    <w:rsid w:val="002135DB"/>
    <w:rsid w:val="00213843"/>
    <w:rsid w:val="00214578"/>
    <w:rsid w:val="00215890"/>
    <w:rsid w:val="00216433"/>
    <w:rsid w:val="002164F0"/>
    <w:rsid w:val="00216AEB"/>
    <w:rsid w:val="00216E72"/>
    <w:rsid w:val="002170C5"/>
    <w:rsid w:val="002209A7"/>
    <w:rsid w:val="002215A2"/>
    <w:rsid w:val="00221F78"/>
    <w:rsid w:val="0022252F"/>
    <w:rsid w:val="00222C41"/>
    <w:rsid w:val="00223128"/>
    <w:rsid w:val="002235D0"/>
    <w:rsid w:val="002247DD"/>
    <w:rsid w:val="0022481A"/>
    <w:rsid w:val="002267D0"/>
    <w:rsid w:val="00227CEC"/>
    <w:rsid w:val="00227DD0"/>
    <w:rsid w:val="0023112D"/>
    <w:rsid w:val="0023274B"/>
    <w:rsid w:val="00232AD8"/>
    <w:rsid w:val="00232BAA"/>
    <w:rsid w:val="00233DBA"/>
    <w:rsid w:val="0023405C"/>
    <w:rsid w:val="0023413D"/>
    <w:rsid w:val="00234475"/>
    <w:rsid w:val="002351E5"/>
    <w:rsid w:val="0023525C"/>
    <w:rsid w:val="0023565F"/>
    <w:rsid w:val="00235A1A"/>
    <w:rsid w:val="00235E99"/>
    <w:rsid w:val="00236877"/>
    <w:rsid w:val="00236903"/>
    <w:rsid w:val="002372C7"/>
    <w:rsid w:val="00237359"/>
    <w:rsid w:val="00240698"/>
    <w:rsid w:val="0024077B"/>
    <w:rsid w:val="00240BCB"/>
    <w:rsid w:val="00241390"/>
    <w:rsid w:val="0024226B"/>
    <w:rsid w:val="002426E4"/>
    <w:rsid w:val="00243236"/>
    <w:rsid w:val="00243DF0"/>
    <w:rsid w:val="00245AB0"/>
    <w:rsid w:val="0024645B"/>
    <w:rsid w:val="00246631"/>
    <w:rsid w:val="00247284"/>
    <w:rsid w:val="00247697"/>
    <w:rsid w:val="002476D6"/>
    <w:rsid w:val="002502F2"/>
    <w:rsid w:val="00250486"/>
    <w:rsid w:val="002504C8"/>
    <w:rsid w:val="002505D9"/>
    <w:rsid w:val="002517E6"/>
    <w:rsid w:val="00251B6A"/>
    <w:rsid w:val="002537F7"/>
    <w:rsid w:val="002539A8"/>
    <w:rsid w:val="00253BAE"/>
    <w:rsid w:val="002561A1"/>
    <w:rsid w:val="00256508"/>
    <w:rsid w:val="0025733B"/>
    <w:rsid w:val="00257491"/>
    <w:rsid w:val="002578FC"/>
    <w:rsid w:val="00260063"/>
    <w:rsid w:val="0026149A"/>
    <w:rsid w:val="00261936"/>
    <w:rsid w:val="002619C4"/>
    <w:rsid w:val="00262951"/>
    <w:rsid w:val="002637A6"/>
    <w:rsid w:val="00263ADF"/>
    <w:rsid w:val="00263C8E"/>
    <w:rsid w:val="0026653F"/>
    <w:rsid w:val="00266C6C"/>
    <w:rsid w:val="00267D50"/>
    <w:rsid w:val="00267D5D"/>
    <w:rsid w:val="0027147C"/>
    <w:rsid w:val="002721A7"/>
    <w:rsid w:val="00272303"/>
    <w:rsid w:val="00272625"/>
    <w:rsid w:val="002739DE"/>
    <w:rsid w:val="002778FF"/>
    <w:rsid w:val="002802A9"/>
    <w:rsid w:val="00280697"/>
    <w:rsid w:val="00280D9C"/>
    <w:rsid w:val="00282242"/>
    <w:rsid w:val="00282EA0"/>
    <w:rsid w:val="00283774"/>
    <w:rsid w:val="00283C80"/>
    <w:rsid w:val="00283E70"/>
    <w:rsid w:val="00284488"/>
    <w:rsid w:val="002850FD"/>
    <w:rsid w:val="00286A14"/>
    <w:rsid w:val="00286D2D"/>
    <w:rsid w:val="0028750B"/>
    <w:rsid w:val="002875E3"/>
    <w:rsid w:val="00287B27"/>
    <w:rsid w:val="00290194"/>
    <w:rsid w:val="00290202"/>
    <w:rsid w:val="002905E4"/>
    <w:rsid w:val="0029186A"/>
    <w:rsid w:val="00293C82"/>
    <w:rsid w:val="00293E7E"/>
    <w:rsid w:val="00294A49"/>
    <w:rsid w:val="00294EF5"/>
    <w:rsid w:val="00295476"/>
    <w:rsid w:val="00296533"/>
    <w:rsid w:val="00296766"/>
    <w:rsid w:val="00296C32"/>
    <w:rsid w:val="00296DF5"/>
    <w:rsid w:val="002A0562"/>
    <w:rsid w:val="002A066F"/>
    <w:rsid w:val="002A120D"/>
    <w:rsid w:val="002A145A"/>
    <w:rsid w:val="002A16DB"/>
    <w:rsid w:val="002A2059"/>
    <w:rsid w:val="002A3DB4"/>
    <w:rsid w:val="002A458A"/>
    <w:rsid w:val="002A46C7"/>
    <w:rsid w:val="002A46F5"/>
    <w:rsid w:val="002A4BA3"/>
    <w:rsid w:val="002A5E14"/>
    <w:rsid w:val="002A63F8"/>
    <w:rsid w:val="002A6465"/>
    <w:rsid w:val="002A6A5E"/>
    <w:rsid w:val="002A77F9"/>
    <w:rsid w:val="002B0920"/>
    <w:rsid w:val="002B1B43"/>
    <w:rsid w:val="002B219B"/>
    <w:rsid w:val="002B311B"/>
    <w:rsid w:val="002B32D9"/>
    <w:rsid w:val="002B3526"/>
    <w:rsid w:val="002B3A68"/>
    <w:rsid w:val="002B3FA6"/>
    <w:rsid w:val="002B4002"/>
    <w:rsid w:val="002B44AB"/>
    <w:rsid w:val="002B44D2"/>
    <w:rsid w:val="002B46E6"/>
    <w:rsid w:val="002B613D"/>
    <w:rsid w:val="002B62E6"/>
    <w:rsid w:val="002C0833"/>
    <w:rsid w:val="002C1215"/>
    <w:rsid w:val="002C1D94"/>
    <w:rsid w:val="002C1E34"/>
    <w:rsid w:val="002C1EFB"/>
    <w:rsid w:val="002C281D"/>
    <w:rsid w:val="002C2F98"/>
    <w:rsid w:val="002C3D81"/>
    <w:rsid w:val="002C41E5"/>
    <w:rsid w:val="002C5027"/>
    <w:rsid w:val="002C5661"/>
    <w:rsid w:val="002C5BE5"/>
    <w:rsid w:val="002C626C"/>
    <w:rsid w:val="002C7650"/>
    <w:rsid w:val="002C773E"/>
    <w:rsid w:val="002D0F17"/>
    <w:rsid w:val="002D13E0"/>
    <w:rsid w:val="002D1CA6"/>
    <w:rsid w:val="002D24A8"/>
    <w:rsid w:val="002D36CC"/>
    <w:rsid w:val="002D37AC"/>
    <w:rsid w:val="002D4175"/>
    <w:rsid w:val="002D4388"/>
    <w:rsid w:val="002D4447"/>
    <w:rsid w:val="002D478B"/>
    <w:rsid w:val="002D4AC8"/>
    <w:rsid w:val="002D56C9"/>
    <w:rsid w:val="002D69D1"/>
    <w:rsid w:val="002D69D5"/>
    <w:rsid w:val="002D7817"/>
    <w:rsid w:val="002D796D"/>
    <w:rsid w:val="002D7CA3"/>
    <w:rsid w:val="002E0361"/>
    <w:rsid w:val="002E0870"/>
    <w:rsid w:val="002E0A87"/>
    <w:rsid w:val="002E1A2B"/>
    <w:rsid w:val="002E1E72"/>
    <w:rsid w:val="002E290D"/>
    <w:rsid w:val="002E3A5A"/>
    <w:rsid w:val="002E3CD3"/>
    <w:rsid w:val="002E418F"/>
    <w:rsid w:val="002E5505"/>
    <w:rsid w:val="002E5563"/>
    <w:rsid w:val="002E5BFC"/>
    <w:rsid w:val="002E6BDB"/>
    <w:rsid w:val="002E730B"/>
    <w:rsid w:val="002E7669"/>
    <w:rsid w:val="002E76DC"/>
    <w:rsid w:val="002E7C21"/>
    <w:rsid w:val="002F28F1"/>
    <w:rsid w:val="002F3E14"/>
    <w:rsid w:val="002F3F4B"/>
    <w:rsid w:val="002F436E"/>
    <w:rsid w:val="002F48D9"/>
    <w:rsid w:val="002F5237"/>
    <w:rsid w:val="002F5F44"/>
    <w:rsid w:val="002F7581"/>
    <w:rsid w:val="00302C04"/>
    <w:rsid w:val="003038AC"/>
    <w:rsid w:val="003046DF"/>
    <w:rsid w:val="00306637"/>
    <w:rsid w:val="00306D42"/>
    <w:rsid w:val="003071DC"/>
    <w:rsid w:val="003071E5"/>
    <w:rsid w:val="00307FCF"/>
    <w:rsid w:val="003106DA"/>
    <w:rsid w:val="0031166D"/>
    <w:rsid w:val="003120EB"/>
    <w:rsid w:val="00312A33"/>
    <w:rsid w:val="003144E6"/>
    <w:rsid w:val="0031570B"/>
    <w:rsid w:val="00316592"/>
    <w:rsid w:val="00316601"/>
    <w:rsid w:val="0031714C"/>
    <w:rsid w:val="00317531"/>
    <w:rsid w:val="00320739"/>
    <w:rsid w:val="003208A1"/>
    <w:rsid w:val="0032091E"/>
    <w:rsid w:val="00321272"/>
    <w:rsid w:val="00321BCC"/>
    <w:rsid w:val="00322CF5"/>
    <w:rsid w:val="003236F0"/>
    <w:rsid w:val="00323708"/>
    <w:rsid w:val="00323CFA"/>
    <w:rsid w:val="00324A22"/>
    <w:rsid w:val="0032536E"/>
    <w:rsid w:val="00325CB3"/>
    <w:rsid w:val="00326047"/>
    <w:rsid w:val="00326E5C"/>
    <w:rsid w:val="0032765D"/>
    <w:rsid w:val="00327A38"/>
    <w:rsid w:val="00327EC2"/>
    <w:rsid w:val="00330522"/>
    <w:rsid w:val="00330BA0"/>
    <w:rsid w:val="0033115B"/>
    <w:rsid w:val="00331EA5"/>
    <w:rsid w:val="00332C63"/>
    <w:rsid w:val="003341CB"/>
    <w:rsid w:val="00334BAF"/>
    <w:rsid w:val="0033679B"/>
    <w:rsid w:val="00336A17"/>
    <w:rsid w:val="003374C7"/>
    <w:rsid w:val="00337BAA"/>
    <w:rsid w:val="00340E6D"/>
    <w:rsid w:val="00343292"/>
    <w:rsid w:val="00344974"/>
    <w:rsid w:val="00344AE5"/>
    <w:rsid w:val="00345961"/>
    <w:rsid w:val="0034659E"/>
    <w:rsid w:val="0034672B"/>
    <w:rsid w:val="00347301"/>
    <w:rsid w:val="00347873"/>
    <w:rsid w:val="003513D3"/>
    <w:rsid w:val="00351715"/>
    <w:rsid w:val="00351722"/>
    <w:rsid w:val="0035173B"/>
    <w:rsid w:val="00351EBB"/>
    <w:rsid w:val="00352703"/>
    <w:rsid w:val="003528B9"/>
    <w:rsid w:val="00352FE8"/>
    <w:rsid w:val="00353196"/>
    <w:rsid w:val="003534B9"/>
    <w:rsid w:val="003557A9"/>
    <w:rsid w:val="00355F96"/>
    <w:rsid w:val="0035763A"/>
    <w:rsid w:val="00357C8D"/>
    <w:rsid w:val="00357F5D"/>
    <w:rsid w:val="00360BEB"/>
    <w:rsid w:val="00360C40"/>
    <w:rsid w:val="00362026"/>
    <w:rsid w:val="0036258C"/>
    <w:rsid w:val="00363112"/>
    <w:rsid w:val="00363F0D"/>
    <w:rsid w:val="003644AE"/>
    <w:rsid w:val="0036521C"/>
    <w:rsid w:val="00366471"/>
    <w:rsid w:val="0036655A"/>
    <w:rsid w:val="0036677E"/>
    <w:rsid w:val="00367C3F"/>
    <w:rsid w:val="00367CF4"/>
    <w:rsid w:val="003705B4"/>
    <w:rsid w:val="0037069D"/>
    <w:rsid w:val="00370C17"/>
    <w:rsid w:val="00370D90"/>
    <w:rsid w:val="00371236"/>
    <w:rsid w:val="00371637"/>
    <w:rsid w:val="00371D03"/>
    <w:rsid w:val="00371DA3"/>
    <w:rsid w:val="00371F29"/>
    <w:rsid w:val="00372A5C"/>
    <w:rsid w:val="00373097"/>
    <w:rsid w:val="00373442"/>
    <w:rsid w:val="00373D9B"/>
    <w:rsid w:val="0037493C"/>
    <w:rsid w:val="003776C1"/>
    <w:rsid w:val="00380371"/>
    <w:rsid w:val="00380A67"/>
    <w:rsid w:val="0038142E"/>
    <w:rsid w:val="003821D7"/>
    <w:rsid w:val="00384038"/>
    <w:rsid w:val="0038455C"/>
    <w:rsid w:val="003845AC"/>
    <w:rsid w:val="00384A41"/>
    <w:rsid w:val="00384D1B"/>
    <w:rsid w:val="00384DAC"/>
    <w:rsid w:val="00384F68"/>
    <w:rsid w:val="0038616D"/>
    <w:rsid w:val="00386D56"/>
    <w:rsid w:val="003900B2"/>
    <w:rsid w:val="00390444"/>
    <w:rsid w:val="00390B95"/>
    <w:rsid w:val="00392AC8"/>
    <w:rsid w:val="0039371D"/>
    <w:rsid w:val="00393938"/>
    <w:rsid w:val="00393DA4"/>
    <w:rsid w:val="00394151"/>
    <w:rsid w:val="003945F2"/>
    <w:rsid w:val="00394831"/>
    <w:rsid w:val="00394B95"/>
    <w:rsid w:val="00394CBC"/>
    <w:rsid w:val="00396EC9"/>
    <w:rsid w:val="00396F53"/>
    <w:rsid w:val="003976A2"/>
    <w:rsid w:val="00397940"/>
    <w:rsid w:val="00397DD4"/>
    <w:rsid w:val="003A00CF"/>
    <w:rsid w:val="003A0A54"/>
    <w:rsid w:val="003A2DBC"/>
    <w:rsid w:val="003A2DF0"/>
    <w:rsid w:val="003A2E30"/>
    <w:rsid w:val="003A3863"/>
    <w:rsid w:val="003A4426"/>
    <w:rsid w:val="003A4EFC"/>
    <w:rsid w:val="003A4FD8"/>
    <w:rsid w:val="003A5189"/>
    <w:rsid w:val="003A5788"/>
    <w:rsid w:val="003A5AFE"/>
    <w:rsid w:val="003A62C2"/>
    <w:rsid w:val="003B0A08"/>
    <w:rsid w:val="003B2957"/>
    <w:rsid w:val="003B2C42"/>
    <w:rsid w:val="003B3FE2"/>
    <w:rsid w:val="003B479E"/>
    <w:rsid w:val="003B491E"/>
    <w:rsid w:val="003B4F1E"/>
    <w:rsid w:val="003B6C38"/>
    <w:rsid w:val="003B6DB9"/>
    <w:rsid w:val="003B733F"/>
    <w:rsid w:val="003C0D69"/>
    <w:rsid w:val="003C16EF"/>
    <w:rsid w:val="003C2366"/>
    <w:rsid w:val="003C2599"/>
    <w:rsid w:val="003C27C9"/>
    <w:rsid w:val="003C2A23"/>
    <w:rsid w:val="003C32EE"/>
    <w:rsid w:val="003C3C27"/>
    <w:rsid w:val="003C4C05"/>
    <w:rsid w:val="003C4E4D"/>
    <w:rsid w:val="003C639E"/>
    <w:rsid w:val="003C7421"/>
    <w:rsid w:val="003C75B6"/>
    <w:rsid w:val="003D0F16"/>
    <w:rsid w:val="003D1458"/>
    <w:rsid w:val="003D2FBD"/>
    <w:rsid w:val="003D3471"/>
    <w:rsid w:val="003D49A4"/>
    <w:rsid w:val="003D4C9E"/>
    <w:rsid w:val="003D532C"/>
    <w:rsid w:val="003D540D"/>
    <w:rsid w:val="003D6FEE"/>
    <w:rsid w:val="003D72F5"/>
    <w:rsid w:val="003D7E9C"/>
    <w:rsid w:val="003E010C"/>
    <w:rsid w:val="003E031E"/>
    <w:rsid w:val="003E0A8E"/>
    <w:rsid w:val="003E12E8"/>
    <w:rsid w:val="003E1503"/>
    <w:rsid w:val="003E1BEB"/>
    <w:rsid w:val="003E2D91"/>
    <w:rsid w:val="003E306E"/>
    <w:rsid w:val="003E3186"/>
    <w:rsid w:val="003E339A"/>
    <w:rsid w:val="003E3B22"/>
    <w:rsid w:val="003E3EF2"/>
    <w:rsid w:val="003E4009"/>
    <w:rsid w:val="003E41D3"/>
    <w:rsid w:val="003E4BE4"/>
    <w:rsid w:val="003E4D6B"/>
    <w:rsid w:val="003E5256"/>
    <w:rsid w:val="003E61F5"/>
    <w:rsid w:val="003E67F3"/>
    <w:rsid w:val="003E6B94"/>
    <w:rsid w:val="003E6C97"/>
    <w:rsid w:val="003E7D02"/>
    <w:rsid w:val="003F025B"/>
    <w:rsid w:val="003F132A"/>
    <w:rsid w:val="003F18A0"/>
    <w:rsid w:val="003F3043"/>
    <w:rsid w:val="003F3E14"/>
    <w:rsid w:val="003F3FEF"/>
    <w:rsid w:val="003F4E48"/>
    <w:rsid w:val="003F4EDB"/>
    <w:rsid w:val="003F59D8"/>
    <w:rsid w:val="003F5B15"/>
    <w:rsid w:val="003F7347"/>
    <w:rsid w:val="0040019F"/>
    <w:rsid w:val="004012B6"/>
    <w:rsid w:val="004019AB"/>
    <w:rsid w:val="00401D8A"/>
    <w:rsid w:val="00401FB5"/>
    <w:rsid w:val="004026C9"/>
    <w:rsid w:val="004027C2"/>
    <w:rsid w:val="0040330F"/>
    <w:rsid w:val="0040407D"/>
    <w:rsid w:val="0040471B"/>
    <w:rsid w:val="004054CB"/>
    <w:rsid w:val="00405A3C"/>
    <w:rsid w:val="00405CE8"/>
    <w:rsid w:val="00405FE1"/>
    <w:rsid w:val="0040689A"/>
    <w:rsid w:val="0040690F"/>
    <w:rsid w:val="00410177"/>
    <w:rsid w:val="00410BDF"/>
    <w:rsid w:val="00410DD7"/>
    <w:rsid w:val="00410E0D"/>
    <w:rsid w:val="00413515"/>
    <w:rsid w:val="0041400B"/>
    <w:rsid w:val="00414166"/>
    <w:rsid w:val="0041431D"/>
    <w:rsid w:val="00414E0F"/>
    <w:rsid w:val="00415066"/>
    <w:rsid w:val="0041604F"/>
    <w:rsid w:val="00416692"/>
    <w:rsid w:val="00417470"/>
    <w:rsid w:val="004202F4"/>
    <w:rsid w:val="00420563"/>
    <w:rsid w:val="00420C99"/>
    <w:rsid w:val="00421B45"/>
    <w:rsid w:val="00421D14"/>
    <w:rsid w:val="00423B12"/>
    <w:rsid w:val="00424E91"/>
    <w:rsid w:val="00425069"/>
    <w:rsid w:val="00425B9C"/>
    <w:rsid w:val="004265FA"/>
    <w:rsid w:val="00430190"/>
    <w:rsid w:val="00430294"/>
    <w:rsid w:val="00430412"/>
    <w:rsid w:val="00430C2E"/>
    <w:rsid w:val="004316CC"/>
    <w:rsid w:val="00431D8D"/>
    <w:rsid w:val="0043201A"/>
    <w:rsid w:val="00432FFA"/>
    <w:rsid w:val="00433CA2"/>
    <w:rsid w:val="004341D9"/>
    <w:rsid w:val="004344E1"/>
    <w:rsid w:val="00434656"/>
    <w:rsid w:val="00435689"/>
    <w:rsid w:val="004356BF"/>
    <w:rsid w:val="00435A05"/>
    <w:rsid w:val="00435C75"/>
    <w:rsid w:val="00435E27"/>
    <w:rsid w:val="00435F36"/>
    <w:rsid w:val="00437174"/>
    <w:rsid w:val="00437770"/>
    <w:rsid w:val="00437A26"/>
    <w:rsid w:val="00440B8C"/>
    <w:rsid w:val="00441C89"/>
    <w:rsid w:val="00441D13"/>
    <w:rsid w:val="00444003"/>
    <w:rsid w:val="00444673"/>
    <w:rsid w:val="004449E6"/>
    <w:rsid w:val="004455A4"/>
    <w:rsid w:val="00445E90"/>
    <w:rsid w:val="0044732E"/>
    <w:rsid w:val="004508E3"/>
    <w:rsid w:val="00451422"/>
    <w:rsid w:val="00451CF3"/>
    <w:rsid w:val="0045202F"/>
    <w:rsid w:val="00453C1D"/>
    <w:rsid w:val="004543F1"/>
    <w:rsid w:val="0045543E"/>
    <w:rsid w:val="0045585B"/>
    <w:rsid w:val="00455DE4"/>
    <w:rsid w:val="00456752"/>
    <w:rsid w:val="00456D50"/>
    <w:rsid w:val="0046008E"/>
    <w:rsid w:val="00460150"/>
    <w:rsid w:val="00460267"/>
    <w:rsid w:val="004604A6"/>
    <w:rsid w:val="00460BC0"/>
    <w:rsid w:val="00460E38"/>
    <w:rsid w:val="00461134"/>
    <w:rsid w:val="00461166"/>
    <w:rsid w:val="0046278E"/>
    <w:rsid w:val="0046319F"/>
    <w:rsid w:val="00463704"/>
    <w:rsid w:val="004640F6"/>
    <w:rsid w:val="0046482F"/>
    <w:rsid w:val="00464C4E"/>
    <w:rsid w:val="0046534A"/>
    <w:rsid w:val="00465E09"/>
    <w:rsid w:val="00467B4E"/>
    <w:rsid w:val="004702E7"/>
    <w:rsid w:val="004723CF"/>
    <w:rsid w:val="00472979"/>
    <w:rsid w:val="00472A92"/>
    <w:rsid w:val="004738C1"/>
    <w:rsid w:val="00475FCE"/>
    <w:rsid w:val="00477356"/>
    <w:rsid w:val="0047756E"/>
    <w:rsid w:val="00477A34"/>
    <w:rsid w:val="00480A61"/>
    <w:rsid w:val="00480D3B"/>
    <w:rsid w:val="00481B49"/>
    <w:rsid w:val="00481BF5"/>
    <w:rsid w:val="00481C80"/>
    <w:rsid w:val="00481F18"/>
    <w:rsid w:val="0048313D"/>
    <w:rsid w:val="00483216"/>
    <w:rsid w:val="00483B87"/>
    <w:rsid w:val="00483FC0"/>
    <w:rsid w:val="00484011"/>
    <w:rsid w:val="0048420F"/>
    <w:rsid w:val="00484808"/>
    <w:rsid w:val="004857F7"/>
    <w:rsid w:val="00486349"/>
    <w:rsid w:val="004863AB"/>
    <w:rsid w:val="00486BB9"/>
    <w:rsid w:val="004871EC"/>
    <w:rsid w:val="00487A5E"/>
    <w:rsid w:val="00487ED9"/>
    <w:rsid w:val="00490E4C"/>
    <w:rsid w:val="00491B2F"/>
    <w:rsid w:val="00493A73"/>
    <w:rsid w:val="004959C5"/>
    <w:rsid w:val="0049609A"/>
    <w:rsid w:val="004964AD"/>
    <w:rsid w:val="00496898"/>
    <w:rsid w:val="00497F64"/>
    <w:rsid w:val="004A1806"/>
    <w:rsid w:val="004A2B89"/>
    <w:rsid w:val="004A2C35"/>
    <w:rsid w:val="004A35EA"/>
    <w:rsid w:val="004A428E"/>
    <w:rsid w:val="004A4755"/>
    <w:rsid w:val="004A4B65"/>
    <w:rsid w:val="004A531F"/>
    <w:rsid w:val="004A61CF"/>
    <w:rsid w:val="004A673B"/>
    <w:rsid w:val="004A762D"/>
    <w:rsid w:val="004A7811"/>
    <w:rsid w:val="004B173F"/>
    <w:rsid w:val="004B26FA"/>
    <w:rsid w:val="004B270B"/>
    <w:rsid w:val="004B4058"/>
    <w:rsid w:val="004B4A3B"/>
    <w:rsid w:val="004B50D6"/>
    <w:rsid w:val="004B5CDD"/>
    <w:rsid w:val="004B5DD0"/>
    <w:rsid w:val="004B70EA"/>
    <w:rsid w:val="004B7345"/>
    <w:rsid w:val="004B7765"/>
    <w:rsid w:val="004C00FF"/>
    <w:rsid w:val="004C0BDC"/>
    <w:rsid w:val="004C13E3"/>
    <w:rsid w:val="004C14FC"/>
    <w:rsid w:val="004C2E2A"/>
    <w:rsid w:val="004C4296"/>
    <w:rsid w:val="004C54AC"/>
    <w:rsid w:val="004C5941"/>
    <w:rsid w:val="004C59C0"/>
    <w:rsid w:val="004C6165"/>
    <w:rsid w:val="004C670B"/>
    <w:rsid w:val="004C6D66"/>
    <w:rsid w:val="004C73AA"/>
    <w:rsid w:val="004C7B0C"/>
    <w:rsid w:val="004C7E21"/>
    <w:rsid w:val="004C7FCE"/>
    <w:rsid w:val="004D0327"/>
    <w:rsid w:val="004D0AFA"/>
    <w:rsid w:val="004D0B3C"/>
    <w:rsid w:val="004D0C43"/>
    <w:rsid w:val="004D0CBD"/>
    <w:rsid w:val="004D3156"/>
    <w:rsid w:val="004D3A4F"/>
    <w:rsid w:val="004D3BA0"/>
    <w:rsid w:val="004D4416"/>
    <w:rsid w:val="004D459D"/>
    <w:rsid w:val="004D4C39"/>
    <w:rsid w:val="004D5E4A"/>
    <w:rsid w:val="004D6B4B"/>
    <w:rsid w:val="004D7248"/>
    <w:rsid w:val="004D7962"/>
    <w:rsid w:val="004E0712"/>
    <w:rsid w:val="004E2BB6"/>
    <w:rsid w:val="004E2EA9"/>
    <w:rsid w:val="004E2F17"/>
    <w:rsid w:val="004E427E"/>
    <w:rsid w:val="004E4710"/>
    <w:rsid w:val="004E4CC5"/>
    <w:rsid w:val="004E4E94"/>
    <w:rsid w:val="004E51BB"/>
    <w:rsid w:val="004E6204"/>
    <w:rsid w:val="004F0CEC"/>
    <w:rsid w:val="004F165E"/>
    <w:rsid w:val="004F1E54"/>
    <w:rsid w:val="004F2259"/>
    <w:rsid w:val="004F2B94"/>
    <w:rsid w:val="004F36A3"/>
    <w:rsid w:val="004F37E9"/>
    <w:rsid w:val="004F3828"/>
    <w:rsid w:val="004F39F4"/>
    <w:rsid w:val="004F3DC0"/>
    <w:rsid w:val="004F4527"/>
    <w:rsid w:val="004F4948"/>
    <w:rsid w:val="004F5181"/>
    <w:rsid w:val="004F604B"/>
    <w:rsid w:val="004F6B2A"/>
    <w:rsid w:val="004F777B"/>
    <w:rsid w:val="004F77AC"/>
    <w:rsid w:val="0050011C"/>
    <w:rsid w:val="00500302"/>
    <w:rsid w:val="00500E43"/>
    <w:rsid w:val="0050143E"/>
    <w:rsid w:val="00501618"/>
    <w:rsid w:val="00502A42"/>
    <w:rsid w:val="00505075"/>
    <w:rsid w:val="0050540B"/>
    <w:rsid w:val="00505654"/>
    <w:rsid w:val="00505DE0"/>
    <w:rsid w:val="00506347"/>
    <w:rsid w:val="00506659"/>
    <w:rsid w:val="00507425"/>
    <w:rsid w:val="00507A10"/>
    <w:rsid w:val="00510A08"/>
    <w:rsid w:val="00510DA9"/>
    <w:rsid w:val="00511AF4"/>
    <w:rsid w:val="00512852"/>
    <w:rsid w:val="005129C1"/>
    <w:rsid w:val="0051324E"/>
    <w:rsid w:val="00513749"/>
    <w:rsid w:val="00513D76"/>
    <w:rsid w:val="005141D2"/>
    <w:rsid w:val="005159C6"/>
    <w:rsid w:val="005159E5"/>
    <w:rsid w:val="00515C27"/>
    <w:rsid w:val="00520F5D"/>
    <w:rsid w:val="00521146"/>
    <w:rsid w:val="005219C2"/>
    <w:rsid w:val="00522443"/>
    <w:rsid w:val="00522681"/>
    <w:rsid w:val="0052268F"/>
    <w:rsid w:val="005233DC"/>
    <w:rsid w:val="005234DF"/>
    <w:rsid w:val="00523F8B"/>
    <w:rsid w:val="00524E53"/>
    <w:rsid w:val="00525C20"/>
    <w:rsid w:val="00526587"/>
    <w:rsid w:val="00526889"/>
    <w:rsid w:val="00527930"/>
    <w:rsid w:val="00527A58"/>
    <w:rsid w:val="005302DA"/>
    <w:rsid w:val="00530AC4"/>
    <w:rsid w:val="00531FDD"/>
    <w:rsid w:val="00532105"/>
    <w:rsid w:val="00532B06"/>
    <w:rsid w:val="0053350F"/>
    <w:rsid w:val="00533AAF"/>
    <w:rsid w:val="00533D09"/>
    <w:rsid w:val="0053458C"/>
    <w:rsid w:val="005352C1"/>
    <w:rsid w:val="00535EF4"/>
    <w:rsid w:val="00536117"/>
    <w:rsid w:val="0053691B"/>
    <w:rsid w:val="00536C2F"/>
    <w:rsid w:val="0053719A"/>
    <w:rsid w:val="005401F3"/>
    <w:rsid w:val="00540D48"/>
    <w:rsid w:val="00541381"/>
    <w:rsid w:val="0054139C"/>
    <w:rsid w:val="00542898"/>
    <w:rsid w:val="005444A3"/>
    <w:rsid w:val="00544521"/>
    <w:rsid w:val="00544E9B"/>
    <w:rsid w:val="00545108"/>
    <w:rsid w:val="005455FF"/>
    <w:rsid w:val="0054647C"/>
    <w:rsid w:val="00546784"/>
    <w:rsid w:val="00550748"/>
    <w:rsid w:val="005530AB"/>
    <w:rsid w:val="00554016"/>
    <w:rsid w:val="00555A45"/>
    <w:rsid w:val="0055638C"/>
    <w:rsid w:val="00556B96"/>
    <w:rsid w:val="00556BC7"/>
    <w:rsid w:val="00560A7A"/>
    <w:rsid w:val="00560E4D"/>
    <w:rsid w:val="0056108F"/>
    <w:rsid w:val="00561767"/>
    <w:rsid w:val="0056199F"/>
    <w:rsid w:val="005619EB"/>
    <w:rsid w:val="00562551"/>
    <w:rsid w:val="005625A4"/>
    <w:rsid w:val="00563827"/>
    <w:rsid w:val="00564CBC"/>
    <w:rsid w:val="00565483"/>
    <w:rsid w:val="005658C3"/>
    <w:rsid w:val="0056598F"/>
    <w:rsid w:val="0056679D"/>
    <w:rsid w:val="005704B9"/>
    <w:rsid w:val="0057061F"/>
    <w:rsid w:val="00570AED"/>
    <w:rsid w:val="00570AFB"/>
    <w:rsid w:val="00570B4F"/>
    <w:rsid w:val="00570C70"/>
    <w:rsid w:val="00571287"/>
    <w:rsid w:val="00571D55"/>
    <w:rsid w:val="005726AF"/>
    <w:rsid w:val="00572F62"/>
    <w:rsid w:val="005730C8"/>
    <w:rsid w:val="005743A3"/>
    <w:rsid w:val="005756BE"/>
    <w:rsid w:val="00577E27"/>
    <w:rsid w:val="00581177"/>
    <w:rsid w:val="00581186"/>
    <w:rsid w:val="00582EED"/>
    <w:rsid w:val="0058364C"/>
    <w:rsid w:val="00583868"/>
    <w:rsid w:val="00584004"/>
    <w:rsid w:val="005851C9"/>
    <w:rsid w:val="00585B18"/>
    <w:rsid w:val="00585D72"/>
    <w:rsid w:val="00586163"/>
    <w:rsid w:val="00586F2F"/>
    <w:rsid w:val="005871B4"/>
    <w:rsid w:val="00587233"/>
    <w:rsid w:val="00587E6F"/>
    <w:rsid w:val="00590D3F"/>
    <w:rsid w:val="00591559"/>
    <w:rsid w:val="00591618"/>
    <w:rsid w:val="0059166F"/>
    <w:rsid w:val="00592077"/>
    <w:rsid w:val="00592308"/>
    <w:rsid w:val="00594DB2"/>
    <w:rsid w:val="00594FB6"/>
    <w:rsid w:val="00595812"/>
    <w:rsid w:val="00596559"/>
    <w:rsid w:val="0059675D"/>
    <w:rsid w:val="00596820"/>
    <w:rsid w:val="005968BA"/>
    <w:rsid w:val="00596AE3"/>
    <w:rsid w:val="005A0F84"/>
    <w:rsid w:val="005A11AF"/>
    <w:rsid w:val="005A189F"/>
    <w:rsid w:val="005A18B9"/>
    <w:rsid w:val="005A1C30"/>
    <w:rsid w:val="005A1E8C"/>
    <w:rsid w:val="005A2764"/>
    <w:rsid w:val="005A326B"/>
    <w:rsid w:val="005A3B40"/>
    <w:rsid w:val="005A41F9"/>
    <w:rsid w:val="005A44F3"/>
    <w:rsid w:val="005A4CB9"/>
    <w:rsid w:val="005A5B95"/>
    <w:rsid w:val="005A5EBD"/>
    <w:rsid w:val="005A66ED"/>
    <w:rsid w:val="005A7383"/>
    <w:rsid w:val="005A7501"/>
    <w:rsid w:val="005A78B3"/>
    <w:rsid w:val="005A7DB3"/>
    <w:rsid w:val="005B03F1"/>
    <w:rsid w:val="005B0E76"/>
    <w:rsid w:val="005B221A"/>
    <w:rsid w:val="005B26E9"/>
    <w:rsid w:val="005B2C65"/>
    <w:rsid w:val="005B2C84"/>
    <w:rsid w:val="005B540D"/>
    <w:rsid w:val="005B619F"/>
    <w:rsid w:val="005B630C"/>
    <w:rsid w:val="005B66A5"/>
    <w:rsid w:val="005B756A"/>
    <w:rsid w:val="005B7C31"/>
    <w:rsid w:val="005B7CD5"/>
    <w:rsid w:val="005B7E25"/>
    <w:rsid w:val="005C0392"/>
    <w:rsid w:val="005C1B6D"/>
    <w:rsid w:val="005C1D6B"/>
    <w:rsid w:val="005C3965"/>
    <w:rsid w:val="005C3BCE"/>
    <w:rsid w:val="005C4268"/>
    <w:rsid w:val="005C4ED8"/>
    <w:rsid w:val="005C51CA"/>
    <w:rsid w:val="005C5508"/>
    <w:rsid w:val="005C5F6B"/>
    <w:rsid w:val="005D0039"/>
    <w:rsid w:val="005D0539"/>
    <w:rsid w:val="005D07D8"/>
    <w:rsid w:val="005D1F6B"/>
    <w:rsid w:val="005D2601"/>
    <w:rsid w:val="005D3F3C"/>
    <w:rsid w:val="005D43D1"/>
    <w:rsid w:val="005D44AF"/>
    <w:rsid w:val="005D44F8"/>
    <w:rsid w:val="005D597A"/>
    <w:rsid w:val="005D59D6"/>
    <w:rsid w:val="005D5DF7"/>
    <w:rsid w:val="005D6DBE"/>
    <w:rsid w:val="005D76F0"/>
    <w:rsid w:val="005E0671"/>
    <w:rsid w:val="005E085F"/>
    <w:rsid w:val="005E1BF6"/>
    <w:rsid w:val="005E334E"/>
    <w:rsid w:val="005E3A34"/>
    <w:rsid w:val="005E441B"/>
    <w:rsid w:val="005E4629"/>
    <w:rsid w:val="005E4931"/>
    <w:rsid w:val="005E4C38"/>
    <w:rsid w:val="005E58E9"/>
    <w:rsid w:val="005E6E2F"/>
    <w:rsid w:val="005E6F91"/>
    <w:rsid w:val="005E7AE9"/>
    <w:rsid w:val="005F0545"/>
    <w:rsid w:val="005F13D3"/>
    <w:rsid w:val="005F26D9"/>
    <w:rsid w:val="005F2C7A"/>
    <w:rsid w:val="005F323C"/>
    <w:rsid w:val="005F3616"/>
    <w:rsid w:val="005F3C2E"/>
    <w:rsid w:val="005F3E6B"/>
    <w:rsid w:val="005F40BF"/>
    <w:rsid w:val="005F444F"/>
    <w:rsid w:val="005F449F"/>
    <w:rsid w:val="005F495D"/>
    <w:rsid w:val="005F5CD6"/>
    <w:rsid w:val="005F6732"/>
    <w:rsid w:val="005F70E5"/>
    <w:rsid w:val="005F7123"/>
    <w:rsid w:val="005F798A"/>
    <w:rsid w:val="006011E2"/>
    <w:rsid w:val="0060231C"/>
    <w:rsid w:val="00603941"/>
    <w:rsid w:val="006054A3"/>
    <w:rsid w:val="00606A3B"/>
    <w:rsid w:val="00607597"/>
    <w:rsid w:val="006079A2"/>
    <w:rsid w:val="00607CEF"/>
    <w:rsid w:val="006104FF"/>
    <w:rsid w:val="00610BCF"/>
    <w:rsid w:val="0061246D"/>
    <w:rsid w:val="00612701"/>
    <w:rsid w:val="006132AC"/>
    <w:rsid w:val="00613530"/>
    <w:rsid w:val="00613DAD"/>
    <w:rsid w:val="006141F4"/>
    <w:rsid w:val="00614791"/>
    <w:rsid w:val="00614AB4"/>
    <w:rsid w:val="006152CA"/>
    <w:rsid w:val="006159D9"/>
    <w:rsid w:val="00615D13"/>
    <w:rsid w:val="00615FE9"/>
    <w:rsid w:val="00616352"/>
    <w:rsid w:val="006165D2"/>
    <w:rsid w:val="00616A1A"/>
    <w:rsid w:val="006171DD"/>
    <w:rsid w:val="0061754C"/>
    <w:rsid w:val="00617FCD"/>
    <w:rsid w:val="006208F7"/>
    <w:rsid w:val="0062142E"/>
    <w:rsid w:val="00621C66"/>
    <w:rsid w:val="00621D6A"/>
    <w:rsid w:val="00621EA0"/>
    <w:rsid w:val="00621FED"/>
    <w:rsid w:val="0062215D"/>
    <w:rsid w:val="00622A2A"/>
    <w:rsid w:val="00622E82"/>
    <w:rsid w:val="00623886"/>
    <w:rsid w:val="00625052"/>
    <w:rsid w:val="006254F5"/>
    <w:rsid w:val="00625A67"/>
    <w:rsid w:val="0062607F"/>
    <w:rsid w:val="00626233"/>
    <w:rsid w:val="006272E3"/>
    <w:rsid w:val="00627367"/>
    <w:rsid w:val="00630EBC"/>
    <w:rsid w:val="00630FD0"/>
    <w:rsid w:val="0063101A"/>
    <w:rsid w:val="00631242"/>
    <w:rsid w:val="00631269"/>
    <w:rsid w:val="00631CF6"/>
    <w:rsid w:val="00632AF4"/>
    <w:rsid w:val="00633E83"/>
    <w:rsid w:val="00634BE4"/>
    <w:rsid w:val="00635B17"/>
    <w:rsid w:val="00635FD1"/>
    <w:rsid w:val="00637181"/>
    <w:rsid w:val="006405E3"/>
    <w:rsid w:val="00641154"/>
    <w:rsid w:val="00642B71"/>
    <w:rsid w:val="00643F71"/>
    <w:rsid w:val="0064428E"/>
    <w:rsid w:val="006446AC"/>
    <w:rsid w:val="00645CDA"/>
    <w:rsid w:val="00645F09"/>
    <w:rsid w:val="00646339"/>
    <w:rsid w:val="00646EB2"/>
    <w:rsid w:val="00646F1C"/>
    <w:rsid w:val="00646F7B"/>
    <w:rsid w:val="006471BE"/>
    <w:rsid w:val="0064750A"/>
    <w:rsid w:val="006478D6"/>
    <w:rsid w:val="00647D45"/>
    <w:rsid w:val="00647DA1"/>
    <w:rsid w:val="00650C50"/>
    <w:rsid w:val="00650C89"/>
    <w:rsid w:val="00651130"/>
    <w:rsid w:val="00651150"/>
    <w:rsid w:val="0065140C"/>
    <w:rsid w:val="00653656"/>
    <w:rsid w:val="00653F09"/>
    <w:rsid w:val="006543E6"/>
    <w:rsid w:val="00654950"/>
    <w:rsid w:val="00654BEA"/>
    <w:rsid w:val="006552E1"/>
    <w:rsid w:val="006553BE"/>
    <w:rsid w:val="0065603E"/>
    <w:rsid w:val="006561D6"/>
    <w:rsid w:val="00657E46"/>
    <w:rsid w:val="0066119F"/>
    <w:rsid w:val="00661FE8"/>
    <w:rsid w:val="00664DF8"/>
    <w:rsid w:val="0066578C"/>
    <w:rsid w:val="006658AE"/>
    <w:rsid w:val="00665942"/>
    <w:rsid w:val="006661C8"/>
    <w:rsid w:val="0066629B"/>
    <w:rsid w:val="0066639E"/>
    <w:rsid w:val="006664EB"/>
    <w:rsid w:val="006670AD"/>
    <w:rsid w:val="00667514"/>
    <w:rsid w:val="0066762F"/>
    <w:rsid w:val="00667B48"/>
    <w:rsid w:val="006705CF"/>
    <w:rsid w:val="006718C1"/>
    <w:rsid w:val="00671BA6"/>
    <w:rsid w:val="00671D80"/>
    <w:rsid w:val="00672FD8"/>
    <w:rsid w:val="006730B5"/>
    <w:rsid w:val="006762F7"/>
    <w:rsid w:val="00676430"/>
    <w:rsid w:val="00676E22"/>
    <w:rsid w:val="006778A3"/>
    <w:rsid w:val="00677FCD"/>
    <w:rsid w:val="00680F85"/>
    <w:rsid w:val="00681115"/>
    <w:rsid w:val="00681A6F"/>
    <w:rsid w:val="00681CD8"/>
    <w:rsid w:val="00682A47"/>
    <w:rsid w:val="00682B96"/>
    <w:rsid w:val="00682D83"/>
    <w:rsid w:val="006834AF"/>
    <w:rsid w:val="0068354B"/>
    <w:rsid w:val="006840DA"/>
    <w:rsid w:val="00684231"/>
    <w:rsid w:val="00684ADA"/>
    <w:rsid w:val="006850F8"/>
    <w:rsid w:val="00685A2E"/>
    <w:rsid w:val="006860A0"/>
    <w:rsid w:val="0068756E"/>
    <w:rsid w:val="006876A3"/>
    <w:rsid w:val="00687C8E"/>
    <w:rsid w:val="00687DD5"/>
    <w:rsid w:val="00690376"/>
    <w:rsid w:val="00690F53"/>
    <w:rsid w:val="00691800"/>
    <w:rsid w:val="0069208F"/>
    <w:rsid w:val="0069290D"/>
    <w:rsid w:val="006932A9"/>
    <w:rsid w:val="00693BA6"/>
    <w:rsid w:val="0069462D"/>
    <w:rsid w:val="00694F2F"/>
    <w:rsid w:val="0069504C"/>
    <w:rsid w:val="00695089"/>
    <w:rsid w:val="006950F6"/>
    <w:rsid w:val="00695A9B"/>
    <w:rsid w:val="006961A5"/>
    <w:rsid w:val="00697CF5"/>
    <w:rsid w:val="006A08AC"/>
    <w:rsid w:val="006A0CEB"/>
    <w:rsid w:val="006A263F"/>
    <w:rsid w:val="006A2A38"/>
    <w:rsid w:val="006A2B7B"/>
    <w:rsid w:val="006A427A"/>
    <w:rsid w:val="006A49B8"/>
    <w:rsid w:val="006A4CCF"/>
    <w:rsid w:val="006A4DDE"/>
    <w:rsid w:val="006A522B"/>
    <w:rsid w:val="006B02E6"/>
    <w:rsid w:val="006B0FD5"/>
    <w:rsid w:val="006B1037"/>
    <w:rsid w:val="006B106F"/>
    <w:rsid w:val="006B18C8"/>
    <w:rsid w:val="006B261C"/>
    <w:rsid w:val="006B2D88"/>
    <w:rsid w:val="006B2ECC"/>
    <w:rsid w:val="006B30B7"/>
    <w:rsid w:val="006B32DA"/>
    <w:rsid w:val="006B3F5D"/>
    <w:rsid w:val="006B5ECD"/>
    <w:rsid w:val="006B7E14"/>
    <w:rsid w:val="006B7FB3"/>
    <w:rsid w:val="006C00A5"/>
    <w:rsid w:val="006C0237"/>
    <w:rsid w:val="006C04BE"/>
    <w:rsid w:val="006C07F1"/>
    <w:rsid w:val="006C15B7"/>
    <w:rsid w:val="006C186D"/>
    <w:rsid w:val="006C3138"/>
    <w:rsid w:val="006C3331"/>
    <w:rsid w:val="006C3E61"/>
    <w:rsid w:val="006C4009"/>
    <w:rsid w:val="006C4CC9"/>
    <w:rsid w:val="006C71C9"/>
    <w:rsid w:val="006C74A6"/>
    <w:rsid w:val="006C7E75"/>
    <w:rsid w:val="006D07E2"/>
    <w:rsid w:val="006D0837"/>
    <w:rsid w:val="006D24BD"/>
    <w:rsid w:val="006D3AD6"/>
    <w:rsid w:val="006D3B0E"/>
    <w:rsid w:val="006D3BE7"/>
    <w:rsid w:val="006D4231"/>
    <w:rsid w:val="006D459C"/>
    <w:rsid w:val="006D52FF"/>
    <w:rsid w:val="006D5668"/>
    <w:rsid w:val="006D5A43"/>
    <w:rsid w:val="006D5E1E"/>
    <w:rsid w:val="006D7922"/>
    <w:rsid w:val="006D7ACB"/>
    <w:rsid w:val="006E006A"/>
    <w:rsid w:val="006E1FD8"/>
    <w:rsid w:val="006E25A6"/>
    <w:rsid w:val="006E2D96"/>
    <w:rsid w:val="006E36D8"/>
    <w:rsid w:val="006E36F8"/>
    <w:rsid w:val="006E4729"/>
    <w:rsid w:val="006E526E"/>
    <w:rsid w:val="006E5309"/>
    <w:rsid w:val="006E5C56"/>
    <w:rsid w:val="006E6C96"/>
    <w:rsid w:val="006E7AAA"/>
    <w:rsid w:val="006F04FB"/>
    <w:rsid w:val="006F11BC"/>
    <w:rsid w:val="006F1829"/>
    <w:rsid w:val="006F32EE"/>
    <w:rsid w:val="006F3706"/>
    <w:rsid w:val="006F5D33"/>
    <w:rsid w:val="006F5D95"/>
    <w:rsid w:val="006F683A"/>
    <w:rsid w:val="006F6857"/>
    <w:rsid w:val="006F795F"/>
    <w:rsid w:val="007000C7"/>
    <w:rsid w:val="007005B9"/>
    <w:rsid w:val="0070167A"/>
    <w:rsid w:val="0070220A"/>
    <w:rsid w:val="007037DC"/>
    <w:rsid w:val="00703E99"/>
    <w:rsid w:val="00703ED1"/>
    <w:rsid w:val="00706C48"/>
    <w:rsid w:val="00706DBE"/>
    <w:rsid w:val="00707EC7"/>
    <w:rsid w:val="007104F9"/>
    <w:rsid w:val="00710A64"/>
    <w:rsid w:val="007115D8"/>
    <w:rsid w:val="007120BC"/>
    <w:rsid w:val="0071261F"/>
    <w:rsid w:val="0071309B"/>
    <w:rsid w:val="007130A7"/>
    <w:rsid w:val="007131D3"/>
    <w:rsid w:val="00713CBF"/>
    <w:rsid w:val="00713F65"/>
    <w:rsid w:val="007140F4"/>
    <w:rsid w:val="00715D37"/>
    <w:rsid w:val="007161FD"/>
    <w:rsid w:val="007168A3"/>
    <w:rsid w:val="007168CD"/>
    <w:rsid w:val="00716D3C"/>
    <w:rsid w:val="00716F53"/>
    <w:rsid w:val="00717861"/>
    <w:rsid w:val="00717AE2"/>
    <w:rsid w:val="00720185"/>
    <w:rsid w:val="00720C0C"/>
    <w:rsid w:val="00720C6A"/>
    <w:rsid w:val="00721100"/>
    <w:rsid w:val="0072302C"/>
    <w:rsid w:val="00724149"/>
    <w:rsid w:val="0072425B"/>
    <w:rsid w:val="007247E8"/>
    <w:rsid w:val="00724EB5"/>
    <w:rsid w:val="00725579"/>
    <w:rsid w:val="007260B4"/>
    <w:rsid w:val="00726353"/>
    <w:rsid w:val="00726D3A"/>
    <w:rsid w:val="00726FA6"/>
    <w:rsid w:val="007272A5"/>
    <w:rsid w:val="00730012"/>
    <w:rsid w:val="00730343"/>
    <w:rsid w:val="00731CA3"/>
    <w:rsid w:val="00731E5A"/>
    <w:rsid w:val="00732258"/>
    <w:rsid w:val="0073242D"/>
    <w:rsid w:val="0073284B"/>
    <w:rsid w:val="00732FA3"/>
    <w:rsid w:val="00733903"/>
    <w:rsid w:val="00733CB3"/>
    <w:rsid w:val="00734019"/>
    <w:rsid w:val="0073443A"/>
    <w:rsid w:val="00735E5C"/>
    <w:rsid w:val="00736C57"/>
    <w:rsid w:val="00736F00"/>
    <w:rsid w:val="007374F7"/>
    <w:rsid w:val="00740514"/>
    <w:rsid w:val="00741884"/>
    <w:rsid w:val="00741958"/>
    <w:rsid w:val="00741C6C"/>
    <w:rsid w:val="00741D86"/>
    <w:rsid w:val="00741E21"/>
    <w:rsid w:val="00742A65"/>
    <w:rsid w:val="00743F80"/>
    <w:rsid w:val="0074567A"/>
    <w:rsid w:val="00745D7C"/>
    <w:rsid w:val="00746152"/>
    <w:rsid w:val="00746828"/>
    <w:rsid w:val="00746829"/>
    <w:rsid w:val="0074700D"/>
    <w:rsid w:val="0074718C"/>
    <w:rsid w:val="00750074"/>
    <w:rsid w:val="00750B2D"/>
    <w:rsid w:val="007517BE"/>
    <w:rsid w:val="007529AC"/>
    <w:rsid w:val="00755577"/>
    <w:rsid w:val="00755EBF"/>
    <w:rsid w:val="0075603F"/>
    <w:rsid w:val="007561AA"/>
    <w:rsid w:val="007565EF"/>
    <w:rsid w:val="007568EC"/>
    <w:rsid w:val="00756EF1"/>
    <w:rsid w:val="0075750C"/>
    <w:rsid w:val="00757675"/>
    <w:rsid w:val="00760087"/>
    <w:rsid w:val="00760876"/>
    <w:rsid w:val="007619B9"/>
    <w:rsid w:val="00762F82"/>
    <w:rsid w:val="0076410D"/>
    <w:rsid w:val="00764A11"/>
    <w:rsid w:val="00765553"/>
    <w:rsid w:val="00765A02"/>
    <w:rsid w:val="0076663F"/>
    <w:rsid w:val="0076679D"/>
    <w:rsid w:val="0077021F"/>
    <w:rsid w:val="00770566"/>
    <w:rsid w:val="007713FB"/>
    <w:rsid w:val="00771909"/>
    <w:rsid w:val="0077283F"/>
    <w:rsid w:val="00772A80"/>
    <w:rsid w:val="00772AF9"/>
    <w:rsid w:val="00774DD6"/>
    <w:rsid w:val="00774EB5"/>
    <w:rsid w:val="0077705B"/>
    <w:rsid w:val="007779D5"/>
    <w:rsid w:val="00780805"/>
    <w:rsid w:val="00780E90"/>
    <w:rsid w:val="0078146E"/>
    <w:rsid w:val="00781647"/>
    <w:rsid w:val="007841AC"/>
    <w:rsid w:val="007849F0"/>
    <w:rsid w:val="007857B1"/>
    <w:rsid w:val="007857BA"/>
    <w:rsid w:val="00785BB8"/>
    <w:rsid w:val="0078658A"/>
    <w:rsid w:val="007866F8"/>
    <w:rsid w:val="00786CE1"/>
    <w:rsid w:val="007870D7"/>
    <w:rsid w:val="00787643"/>
    <w:rsid w:val="00787A21"/>
    <w:rsid w:val="00787E9A"/>
    <w:rsid w:val="00790731"/>
    <w:rsid w:val="00790F6F"/>
    <w:rsid w:val="00791959"/>
    <w:rsid w:val="00791D5B"/>
    <w:rsid w:val="00792E99"/>
    <w:rsid w:val="0079415F"/>
    <w:rsid w:val="00794CA7"/>
    <w:rsid w:val="007970E0"/>
    <w:rsid w:val="00797AC3"/>
    <w:rsid w:val="007A03A2"/>
    <w:rsid w:val="007A0783"/>
    <w:rsid w:val="007A2111"/>
    <w:rsid w:val="007A25F4"/>
    <w:rsid w:val="007A2745"/>
    <w:rsid w:val="007A2A73"/>
    <w:rsid w:val="007A336A"/>
    <w:rsid w:val="007A36C2"/>
    <w:rsid w:val="007A3821"/>
    <w:rsid w:val="007A3E1D"/>
    <w:rsid w:val="007A6310"/>
    <w:rsid w:val="007A648B"/>
    <w:rsid w:val="007A655C"/>
    <w:rsid w:val="007A6DE3"/>
    <w:rsid w:val="007A73D6"/>
    <w:rsid w:val="007A7D55"/>
    <w:rsid w:val="007B01AB"/>
    <w:rsid w:val="007B15A4"/>
    <w:rsid w:val="007B18C9"/>
    <w:rsid w:val="007B1998"/>
    <w:rsid w:val="007B2868"/>
    <w:rsid w:val="007B37B7"/>
    <w:rsid w:val="007B41EC"/>
    <w:rsid w:val="007B43D5"/>
    <w:rsid w:val="007B6D4E"/>
    <w:rsid w:val="007B72EB"/>
    <w:rsid w:val="007B75C8"/>
    <w:rsid w:val="007C0C10"/>
    <w:rsid w:val="007C0EDE"/>
    <w:rsid w:val="007C1411"/>
    <w:rsid w:val="007C14C5"/>
    <w:rsid w:val="007C164C"/>
    <w:rsid w:val="007C1704"/>
    <w:rsid w:val="007C19AF"/>
    <w:rsid w:val="007C1D5B"/>
    <w:rsid w:val="007C28B9"/>
    <w:rsid w:val="007C3369"/>
    <w:rsid w:val="007C3403"/>
    <w:rsid w:val="007C35B4"/>
    <w:rsid w:val="007C4834"/>
    <w:rsid w:val="007C4BC5"/>
    <w:rsid w:val="007C5230"/>
    <w:rsid w:val="007C5825"/>
    <w:rsid w:val="007C6C36"/>
    <w:rsid w:val="007D058C"/>
    <w:rsid w:val="007D059A"/>
    <w:rsid w:val="007D0E07"/>
    <w:rsid w:val="007D2285"/>
    <w:rsid w:val="007D278D"/>
    <w:rsid w:val="007D37C9"/>
    <w:rsid w:val="007D4455"/>
    <w:rsid w:val="007D45E9"/>
    <w:rsid w:val="007D57A4"/>
    <w:rsid w:val="007D6230"/>
    <w:rsid w:val="007D6CE4"/>
    <w:rsid w:val="007D6F2B"/>
    <w:rsid w:val="007D72D4"/>
    <w:rsid w:val="007E0746"/>
    <w:rsid w:val="007E0BFA"/>
    <w:rsid w:val="007E0E10"/>
    <w:rsid w:val="007E112B"/>
    <w:rsid w:val="007E1625"/>
    <w:rsid w:val="007E265A"/>
    <w:rsid w:val="007E2D2B"/>
    <w:rsid w:val="007E43C5"/>
    <w:rsid w:val="007E4876"/>
    <w:rsid w:val="007E5632"/>
    <w:rsid w:val="007E576C"/>
    <w:rsid w:val="007E5A61"/>
    <w:rsid w:val="007E5CC6"/>
    <w:rsid w:val="007E67C4"/>
    <w:rsid w:val="007E7936"/>
    <w:rsid w:val="007E7E34"/>
    <w:rsid w:val="007E7F4F"/>
    <w:rsid w:val="007F0038"/>
    <w:rsid w:val="007F09BB"/>
    <w:rsid w:val="007F1266"/>
    <w:rsid w:val="007F1930"/>
    <w:rsid w:val="007F1B46"/>
    <w:rsid w:val="007F1C85"/>
    <w:rsid w:val="007F1ED0"/>
    <w:rsid w:val="007F28C7"/>
    <w:rsid w:val="007F46B8"/>
    <w:rsid w:val="007F5599"/>
    <w:rsid w:val="007F5E9F"/>
    <w:rsid w:val="007F6173"/>
    <w:rsid w:val="007F63BF"/>
    <w:rsid w:val="007F6E78"/>
    <w:rsid w:val="007F70D9"/>
    <w:rsid w:val="007F751E"/>
    <w:rsid w:val="00800765"/>
    <w:rsid w:val="00800F12"/>
    <w:rsid w:val="008019DD"/>
    <w:rsid w:val="00801BA9"/>
    <w:rsid w:val="008021EA"/>
    <w:rsid w:val="00802D23"/>
    <w:rsid w:val="008034EB"/>
    <w:rsid w:val="00803759"/>
    <w:rsid w:val="008046EB"/>
    <w:rsid w:val="00804A7F"/>
    <w:rsid w:val="00804CA1"/>
    <w:rsid w:val="00806003"/>
    <w:rsid w:val="00806F0E"/>
    <w:rsid w:val="008073BA"/>
    <w:rsid w:val="00810244"/>
    <w:rsid w:val="00812108"/>
    <w:rsid w:val="008125D6"/>
    <w:rsid w:val="00813424"/>
    <w:rsid w:val="00813A78"/>
    <w:rsid w:val="00813F3E"/>
    <w:rsid w:val="00814591"/>
    <w:rsid w:val="008145FC"/>
    <w:rsid w:val="00814B19"/>
    <w:rsid w:val="00815588"/>
    <w:rsid w:val="008160EB"/>
    <w:rsid w:val="00817560"/>
    <w:rsid w:val="008218F4"/>
    <w:rsid w:val="00821D35"/>
    <w:rsid w:val="008221AE"/>
    <w:rsid w:val="008224C1"/>
    <w:rsid w:val="0082358B"/>
    <w:rsid w:val="008235F9"/>
    <w:rsid w:val="00823E23"/>
    <w:rsid w:val="00824972"/>
    <w:rsid w:val="0082555E"/>
    <w:rsid w:val="0082577E"/>
    <w:rsid w:val="00827712"/>
    <w:rsid w:val="00827752"/>
    <w:rsid w:val="00827D17"/>
    <w:rsid w:val="008310AE"/>
    <w:rsid w:val="008313CF"/>
    <w:rsid w:val="008315C8"/>
    <w:rsid w:val="0083177B"/>
    <w:rsid w:val="00832976"/>
    <w:rsid w:val="00833FA2"/>
    <w:rsid w:val="00837C04"/>
    <w:rsid w:val="0084044C"/>
    <w:rsid w:val="00840EF3"/>
    <w:rsid w:val="0084354C"/>
    <w:rsid w:val="008448A1"/>
    <w:rsid w:val="008448DA"/>
    <w:rsid w:val="008449B4"/>
    <w:rsid w:val="0084502E"/>
    <w:rsid w:val="008455F8"/>
    <w:rsid w:val="0084579A"/>
    <w:rsid w:val="00845C30"/>
    <w:rsid w:val="008461E3"/>
    <w:rsid w:val="00846F46"/>
    <w:rsid w:val="00847399"/>
    <w:rsid w:val="00847649"/>
    <w:rsid w:val="008476C4"/>
    <w:rsid w:val="00847F3B"/>
    <w:rsid w:val="00850386"/>
    <w:rsid w:val="008506FF"/>
    <w:rsid w:val="008517A7"/>
    <w:rsid w:val="00851A80"/>
    <w:rsid w:val="00851C75"/>
    <w:rsid w:val="00851DF6"/>
    <w:rsid w:val="00851FDD"/>
    <w:rsid w:val="00852BB7"/>
    <w:rsid w:val="00855543"/>
    <w:rsid w:val="00855EC3"/>
    <w:rsid w:val="00857405"/>
    <w:rsid w:val="008575BF"/>
    <w:rsid w:val="0086051B"/>
    <w:rsid w:val="00860673"/>
    <w:rsid w:val="008608F6"/>
    <w:rsid w:val="00860A57"/>
    <w:rsid w:val="00861015"/>
    <w:rsid w:val="008611F8"/>
    <w:rsid w:val="00861D4A"/>
    <w:rsid w:val="00862254"/>
    <w:rsid w:val="00864BA9"/>
    <w:rsid w:val="00865566"/>
    <w:rsid w:val="00866343"/>
    <w:rsid w:val="00870263"/>
    <w:rsid w:val="00870326"/>
    <w:rsid w:val="00871F31"/>
    <w:rsid w:val="0087271B"/>
    <w:rsid w:val="00872EB7"/>
    <w:rsid w:val="00873326"/>
    <w:rsid w:val="008733EB"/>
    <w:rsid w:val="008738EE"/>
    <w:rsid w:val="00873A53"/>
    <w:rsid w:val="00874E64"/>
    <w:rsid w:val="0087559A"/>
    <w:rsid w:val="00876877"/>
    <w:rsid w:val="00877273"/>
    <w:rsid w:val="00877316"/>
    <w:rsid w:val="008804E3"/>
    <w:rsid w:val="008817C8"/>
    <w:rsid w:val="00881D26"/>
    <w:rsid w:val="00882826"/>
    <w:rsid w:val="00883CE3"/>
    <w:rsid w:val="00883D69"/>
    <w:rsid w:val="00883E4C"/>
    <w:rsid w:val="00883FC0"/>
    <w:rsid w:val="00886A87"/>
    <w:rsid w:val="0088720F"/>
    <w:rsid w:val="00887F38"/>
    <w:rsid w:val="008901E5"/>
    <w:rsid w:val="00891FC1"/>
    <w:rsid w:val="00892360"/>
    <w:rsid w:val="0089286A"/>
    <w:rsid w:val="008933C6"/>
    <w:rsid w:val="008949F1"/>
    <w:rsid w:val="00896A61"/>
    <w:rsid w:val="00896FC4"/>
    <w:rsid w:val="008A2C05"/>
    <w:rsid w:val="008A357F"/>
    <w:rsid w:val="008A360C"/>
    <w:rsid w:val="008A3B1F"/>
    <w:rsid w:val="008A428D"/>
    <w:rsid w:val="008A438D"/>
    <w:rsid w:val="008A4FF0"/>
    <w:rsid w:val="008A5126"/>
    <w:rsid w:val="008A5417"/>
    <w:rsid w:val="008A6050"/>
    <w:rsid w:val="008A638E"/>
    <w:rsid w:val="008A67C0"/>
    <w:rsid w:val="008A6B3F"/>
    <w:rsid w:val="008A734B"/>
    <w:rsid w:val="008B0E91"/>
    <w:rsid w:val="008B11C9"/>
    <w:rsid w:val="008B1883"/>
    <w:rsid w:val="008B193A"/>
    <w:rsid w:val="008B2D4A"/>
    <w:rsid w:val="008B392D"/>
    <w:rsid w:val="008B4490"/>
    <w:rsid w:val="008B5228"/>
    <w:rsid w:val="008B5B11"/>
    <w:rsid w:val="008B6338"/>
    <w:rsid w:val="008B7176"/>
    <w:rsid w:val="008B722B"/>
    <w:rsid w:val="008B7577"/>
    <w:rsid w:val="008B7643"/>
    <w:rsid w:val="008C03E1"/>
    <w:rsid w:val="008C0D77"/>
    <w:rsid w:val="008C0DBE"/>
    <w:rsid w:val="008C13CD"/>
    <w:rsid w:val="008C179E"/>
    <w:rsid w:val="008C1BB3"/>
    <w:rsid w:val="008C1CB7"/>
    <w:rsid w:val="008C232C"/>
    <w:rsid w:val="008C2400"/>
    <w:rsid w:val="008C2539"/>
    <w:rsid w:val="008C312E"/>
    <w:rsid w:val="008C3768"/>
    <w:rsid w:val="008C45FD"/>
    <w:rsid w:val="008C5A34"/>
    <w:rsid w:val="008C5DCD"/>
    <w:rsid w:val="008C6364"/>
    <w:rsid w:val="008C7850"/>
    <w:rsid w:val="008C7D53"/>
    <w:rsid w:val="008D0178"/>
    <w:rsid w:val="008D0690"/>
    <w:rsid w:val="008D085F"/>
    <w:rsid w:val="008D1466"/>
    <w:rsid w:val="008D150E"/>
    <w:rsid w:val="008D323B"/>
    <w:rsid w:val="008D34E4"/>
    <w:rsid w:val="008D35DC"/>
    <w:rsid w:val="008D3A73"/>
    <w:rsid w:val="008D4AC0"/>
    <w:rsid w:val="008D4E0A"/>
    <w:rsid w:val="008D5A32"/>
    <w:rsid w:val="008D612C"/>
    <w:rsid w:val="008D65DB"/>
    <w:rsid w:val="008D7AEB"/>
    <w:rsid w:val="008E005F"/>
    <w:rsid w:val="008E02F8"/>
    <w:rsid w:val="008E1282"/>
    <w:rsid w:val="008E1647"/>
    <w:rsid w:val="008E1B58"/>
    <w:rsid w:val="008E2A2D"/>
    <w:rsid w:val="008E2A32"/>
    <w:rsid w:val="008E34EE"/>
    <w:rsid w:val="008E35AB"/>
    <w:rsid w:val="008E4560"/>
    <w:rsid w:val="008E49E7"/>
    <w:rsid w:val="008E4E28"/>
    <w:rsid w:val="008E4ECF"/>
    <w:rsid w:val="008E545C"/>
    <w:rsid w:val="008E674E"/>
    <w:rsid w:val="008E7D4A"/>
    <w:rsid w:val="008F0217"/>
    <w:rsid w:val="008F029C"/>
    <w:rsid w:val="008F0430"/>
    <w:rsid w:val="008F095C"/>
    <w:rsid w:val="008F19B3"/>
    <w:rsid w:val="008F1A58"/>
    <w:rsid w:val="008F36E2"/>
    <w:rsid w:val="008F3B87"/>
    <w:rsid w:val="008F4EF2"/>
    <w:rsid w:val="008F5A4D"/>
    <w:rsid w:val="008F5ABE"/>
    <w:rsid w:val="008F5D09"/>
    <w:rsid w:val="008F6BED"/>
    <w:rsid w:val="009003CF"/>
    <w:rsid w:val="0090119C"/>
    <w:rsid w:val="00902CA1"/>
    <w:rsid w:val="009031A4"/>
    <w:rsid w:val="00903A67"/>
    <w:rsid w:val="009044A1"/>
    <w:rsid w:val="00904793"/>
    <w:rsid w:val="009053AD"/>
    <w:rsid w:val="00905E87"/>
    <w:rsid w:val="009061F1"/>
    <w:rsid w:val="009067FD"/>
    <w:rsid w:val="00906E55"/>
    <w:rsid w:val="0090703F"/>
    <w:rsid w:val="0090763B"/>
    <w:rsid w:val="00907847"/>
    <w:rsid w:val="00907E35"/>
    <w:rsid w:val="00910F47"/>
    <w:rsid w:val="009112B7"/>
    <w:rsid w:val="0091163A"/>
    <w:rsid w:val="0091221B"/>
    <w:rsid w:val="009130DC"/>
    <w:rsid w:val="009132E7"/>
    <w:rsid w:val="00913550"/>
    <w:rsid w:val="00913B27"/>
    <w:rsid w:val="00915B6A"/>
    <w:rsid w:val="00915BBD"/>
    <w:rsid w:val="00915C36"/>
    <w:rsid w:val="00915DCF"/>
    <w:rsid w:val="00916077"/>
    <w:rsid w:val="00916C4A"/>
    <w:rsid w:val="00916E55"/>
    <w:rsid w:val="00917296"/>
    <w:rsid w:val="0092024B"/>
    <w:rsid w:val="00920398"/>
    <w:rsid w:val="00920F03"/>
    <w:rsid w:val="00921445"/>
    <w:rsid w:val="0092171B"/>
    <w:rsid w:val="00923B27"/>
    <w:rsid w:val="0092408D"/>
    <w:rsid w:val="0092428E"/>
    <w:rsid w:val="00924513"/>
    <w:rsid w:val="009252E2"/>
    <w:rsid w:val="00925B54"/>
    <w:rsid w:val="0092736F"/>
    <w:rsid w:val="00930422"/>
    <w:rsid w:val="00930997"/>
    <w:rsid w:val="00930A7E"/>
    <w:rsid w:val="00930B06"/>
    <w:rsid w:val="009312CB"/>
    <w:rsid w:val="00931590"/>
    <w:rsid w:val="0093192D"/>
    <w:rsid w:val="00932045"/>
    <w:rsid w:val="009322B4"/>
    <w:rsid w:val="00932824"/>
    <w:rsid w:val="00933513"/>
    <w:rsid w:val="009340D6"/>
    <w:rsid w:val="009344C7"/>
    <w:rsid w:val="0093472C"/>
    <w:rsid w:val="009353AD"/>
    <w:rsid w:val="0093679F"/>
    <w:rsid w:val="00936B1B"/>
    <w:rsid w:val="00936BEF"/>
    <w:rsid w:val="00936CB3"/>
    <w:rsid w:val="00936F5C"/>
    <w:rsid w:val="009374B2"/>
    <w:rsid w:val="0094051A"/>
    <w:rsid w:val="00940C2E"/>
    <w:rsid w:val="009421E2"/>
    <w:rsid w:val="00942578"/>
    <w:rsid w:val="00943B32"/>
    <w:rsid w:val="009445FC"/>
    <w:rsid w:val="009450C1"/>
    <w:rsid w:val="00947A0E"/>
    <w:rsid w:val="00947E21"/>
    <w:rsid w:val="0095189E"/>
    <w:rsid w:val="009522CC"/>
    <w:rsid w:val="009526BD"/>
    <w:rsid w:val="00952B29"/>
    <w:rsid w:val="00952DF0"/>
    <w:rsid w:val="009535BB"/>
    <w:rsid w:val="009553B1"/>
    <w:rsid w:val="009560DC"/>
    <w:rsid w:val="0095618C"/>
    <w:rsid w:val="00956452"/>
    <w:rsid w:val="009564E7"/>
    <w:rsid w:val="00956FCE"/>
    <w:rsid w:val="0095709B"/>
    <w:rsid w:val="00957782"/>
    <w:rsid w:val="00957E14"/>
    <w:rsid w:val="00957ECA"/>
    <w:rsid w:val="00957FAC"/>
    <w:rsid w:val="00960A4E"/>
    <w:rsid w:val="00961404"/>
    <w:rsid w:val="00961A45"/>
    <w:rsid w:val="00962C9C"/>
    <w:rsid w:val="009637A1"/>
    <w:rsid w:val="0096410E"/>
    <w:rsid w:val="009645FB"/>
    <w:rsid w:val="009650DA"/>
    <w:rsid w:val="009651BC"/>
    <w:rsid w:val="00965E12"/>
    <w:rsid w:val="00967307"/>
    <w:rsid w:val="0096739D"/>
    <w:rsid w:val="00967F7C"/>
    <w:rsid w:val="00970248"/>
    <w:rsid w:val="009726AA"/>
    <w:rsid w:val="009734CE"/>
    <w:rsid w:val="009736A7"/>
    <w:rsid w:val="00974989"/>
    <w:rsid w:val="009752B8"/>
    <w:rsid w:val="009755AE"/>
    <w:rsid w:val="009755F2"/>
    <w:rsid w:val="00975949"/>
    <w:rsid w:val="009763FC"/>
    <w:rsid w:val="00976A0F"/>
    <w:rsid w:val="009778B5"/>
    <w:rsid w:val="009803AB"/>
    <w:rsid w:val="0098057F"/>
    <w:rsid w:val="00980D5A"/>
    <w:rsid w:val="0098289A"/>
    <w:rsid w:val="0098370C"/>
    <w:rsid w:val="00985A05"/>
    <w:rsid w:val="00986105"/>
    <w:rsid w:val="00987414"/>
    <w:rsid w:val="009877A5"/>
    <w:rsid w:val="009878D9"/>
    <w:rsid w:val="00987BB2"/>
    <w:rsid w:val="00987EA4"/>
    <w:rsid w:val="00987EF6"/>
    <w:rsid w:val="00990721"/>
    <w:rsid w:val="0099182A"/>
    <w:rsid w:val="009921D5"/>
    <w:rsid w:val="0099263E"/>
    <w:rsid w:val="00992825"/>
    <w:rsid w:val="00993028"/>
    <w:rsid w:val="00993B4A"/>
    <w:rsid w:val="00993DB2"/>
    <w:rsid w:val="00994DF5"/>
    <w:rsid w:val="0099516F"/>
    <w:rsid w:val="0099526A"/>
    <w:rsid w:val="00995909"/>
    <w:rsid w:val="00995928"/>
    <w:rsid w:val="009961A2"/>
    <w:rsid w:val="0099699D"/>
    <w:rsid w:val="00997F82"/>
    <w:rsid w:val="009A01A0"/>
    <w:rsid w:val="009A084D"/>
    <w:rsid w:val="009A12B0"/>
    <w:rsid w:val="009A1A95"/>
    <w:rsid w:val="009A1D62"/>
    <w:rsid w:val="009A21D3"/>
    <w:rsid w:val="009A25F9"/>
    <w:rsid w:val="009A2911"/>
    <w:rsid w:val="009A2A41"/>
    <w:rsid w:val="009A2BBF"/>
    <w:rsid w:val="009A3A0A"/>
    <w:rsid w:val="009A44DB"/>
    <w:rsid w:val="009A4CDA"/>
    <w:rsid w:val="009A5137"/>
    <w:rsid w:val="009A57C4"/>
    <w:rsid w:val="009A5DE7"/>
    <w:rsid w:val="009A6556"/>
    <w:rsid w:val="009A67B0"/>
    <w:rsid w:val="009A6F2B"/>
    <w:rsid w:val="009A7375"/>
    <w:rsid w:val="009A73DA"/>
    <w:rsid w:val="009A7C7B"/>
    <w:rsid w:val="009B11B6"/>
    <w:rsid w:val="009B16D7"/>
    <w:rsid w:val="009B1BF0"/>
    <w:rsid w:val="009B1BF1"/>
    <w:rsid w:val="009B2278"/>
    <w:rsid w:val="009B2557"/>
    <w:rsid w:val="009B2A5D"/>
    <w:rsid w:val="009B2C07"/>
    <w:rsid w:val="009B2FD5"/>
    <w:rsid w:val="009B3705"/>
    <w:rsid w:val="009B39DC"/>
    <w:rsid w:val="009B573C"/>
    <w:rsid w:val="009B6058"/>
    <w:rsid w:val="009B6F12"/>
    <w:rsid w:val="009B7182"/>
    <w:rsid w:val="009B76F9"/>
    <w:rsid w:val="009B7F1A"/>
    <w:rsid w:val="009C0362"/>
    <w:rsid w:val="009C2A0C"/>
    <w:rsid w:val="009C3EE6"/>
    <w:rsid w:val="009C485D"/>
    <w:rsid w:val="009C7267"/>
    <w:rsid w:val="009C7A1A"/>
    <w:rsid w:val="009D1C77"/>
    <w:rsid w:val="009D255E"/>
    <w:rsid w:val="009D2CB4"/>
    <w:rsid w:val="009D3C67"/>
    <w:rsid w:val="009D4A68"/>
    <w:rsid w:val="009D4B1E"/>
    <w:rsid w:val="009D5180"/>
    <w:rsid w:val="009D59BE"/>
    <w:rsid w:val="009E01A0"/>
    <w:rsid w:val="009E261C"/>
    <w:rsid w:val="009E3120"/>
    <w:rsid w:val="009E35DA"/>
    <w:rsid w:val="009E3958"/>
    <w:rsid w:val="009E3A98"/>
    <w:rsid w:val="009E5474"/>
    <w:rsid w:val="009E5505"/>
    <w:rsid w:val="009E5A80"/>
    <w:rsid w:val="009E7339"/>
    <w:rsid w:val="009E77BE"/>
    <w:rsid w:val="009F0B0B"/>
    <w:rsid w:val="009F2297"/>
    <w:rsid w:val="009F32E5"/>
    <w:rsid w:val="009F335C"/>
    <w:rsid w:val="009F5817"/>
    <w:rsid w:val="009F6DB0"/>
    <w:rsid w:val="009F6F02"/>
    <w:rsid w:val="009F75C1"/>
    <w:rsid w:val="009F7899"/>
    <w:rsid w:val="009F7DB7"/>
    <w:rsid w:val="00A0000C"/>
    <w:rsid w:val="00A01835"/>
    <w:rsid w:val="00A01B96"/>
    <w:rsid w:val="00A01F52"/>
    <w:rsid w:val="00A026F7"/>
    <w:rsid w:val="00A02E91"/>
    <w:rsid w:val="00A04B19"/>
    <w:rsid w:val="00A0597F"/>
    <w:rsid w:val="00A05A2B"/>
    <w:rsid w:val="00A06158"/>
    <w:rsid w:val="00A06BEB"/>
    <w:rsid w:val="00A072E8"/>
    <w:rsid w:val="00A0735F"/>
    <w:rsid w:val="00A0743B"/>
    <w:rsid w:val="00A07A4D"/>
    <w:rsid w:val="00A07E41"/>
    <w:rsid w:val="00A07EF7"/>
    <w:rsid w:val="00A101B9"/>
    <w:rsid w:val="00A1097C"/>
    <w:rsid w:val="00A113C7"/>
    <w:rsid w:val="00A12205"/>
    <w:rsid w:val="00A124D2"/>
    <w:rsid w:val="00A128BB"/>
    <w:rsid w:val="00A12E37"/>
    <w:rsid w:val="00A12EE8"/>
    <w:rsid w:val="00A13798"/>
    <w:rsid w:val="00A14532"/>
    <w:rsid w:val="00A148CE"/>
    <w:rsid w:val="00A14F85"/>
    <w:rsid w:val="00A15CA9"/>
    <w:rsid w:val="00A15F3C"/>
    <w:rsid w:val="00A16209"/>
    <w:rsid w:val="00A17517"/>
    <w:rsid w:val="00A200E1"/>
    <w:rsid w:val="00A20201"/>
    <w:rsid w:val="00A2164E"/>
    <w:rsid w:val="00A21BA4"/>
    <w:rsid w:val="00A21CC3"/>
    <w:rsid w:val="00A225FE"/>
    <w:rsid w:val="00A2335A"/>
    <w:rsid w:val="00A24433"/>
    <w:rsid w:val="00A24AF4"/>
    <w:rsid w:val="00A2562F"/>
    <w:rsid w:val="00A25B22"/>
    <w:rsid w:val="00A25D50"/>
    <w:rsid w:val="00A27A85"/>
    <w:rsid w:val="00A27C3E"/>
    <w:rsid w:val="00A27DCC"/>
    <w:rsid w:val="00A27E6A"/>
    <w:rsid w:val="00A305BA"/>
    <w:rsid w:val="00A30EEA"/>
    <w:rsid w:val="00A3123F"/>
    <w:rsid w:val="00A3176B"/>
    <w:rsid w:val="00A31E52"/>
    <w:rsid w:val="00A322AC"/>
    <w:rsid w:val="00A32835"/>
    <w:rsid w:val="00A336D2"/>
    <w:rsid w:val="00A33CB4"/>
    <w:rsid w:val="00A34FA1"/>
    <w:rsid w:val="00A35834"/>
    <w:rsid w:val="00A35863"/>
    <w:rsid w:val="00A35B79"/>
    <w:rsid w:val="00A36B9B"/>
    <w:rsid w:val="00A36EC3"/>
    <w:rsid w:val="00A40607"/>
    <w:rsid w:val="00A41934"/>
    <w:rsid w:val="00A4295F"/>
    <w:rsid w:val="00A4367E"/>
    <w:rsid w:val="00A439E1"/>
    <w:rsid w:val="00A44A33"/>
    <w:rsid w:val="00A44D8B"/>
    <w:rsid w:val="00A4531B"/>
    <w:rsid w:val="00A46103"/>
    <w:rsid w:val="00A4736C"/>
    <w:rsid w:val="00A47C07"/>
    <w:rsid w:val="00A47E38"/>
    <w:rsid w:val="00A517FA"/>
    <w:rsid w:val="00A52C8F"/>
    <w:rsid w:val="00A5488F"/>
    <w:rsid w:val="00A55176"/>
    <w:rsid w:val="00A55202"/>
    <w:rsid w:val="00A55E72"/>
    <w:rsid w:val="00A56592"/>
    <w:rsid w:val="00A57FF1"/>
    <w:rsid w:val="00A601C4"/>
    <w:rsid w:val="00A60A8E"/>
    <w:rsid w:val="00A62D2F"/>
    <w:rsid w:val="00A6384E"/>
    <w:rsid w:val="00A646A4"/>
    <w:rsid w:val="00A64E54"/>
    <w:rsid w:val="00A65049"/>
    <w:rsid w:val="00A66C76"/>
    <w:rsid w:val="00A675FD"/>
    <w:rsid w:val="00A67B9B"/>
    <w:rsid w:val="00A67F3B"/>
    <w:rsid w:val="00A7049D"/>
    <w:rsid w:val="00A70B19"/>
    <w:rsid w:val="00A71413"/>
    <w:rsid w:val="00A721FF"/>
    <w:rsid w:val="00A726AC"/>
    <w:rsid w:val="00A72F6F"/>
    <w:rsid w:val="00A736F0"/>
    <w:rsid w:val="00A742E6"/>
    <w:rsid w:val="00A7451D"/>
    <w:rsid w:val="00A75557"/>
    <w:rsid w:val="00A75FC6"/>
    <w:rsid w:val="00A80AEC"/>
    <w:rsid w:val="00A8170C"/>
    <w:rsid w:val="00A81CE9"/>
    <w:rsid w:val="00A83179"/>
    <w:rsid w:val="00A85B14"/>
    <w:rsid w:val="00A86062"/>
    <w:rsid w:val="00A862C9"/>
    <w:rsid w:val="00A8716F"/>
    <w:rsid w:val="00A877CA"/>
    <w:rsid w:val="00A87C17"/>
    <w:rsid w:val="00A87DF1"/>
    <w:rsid w:val="00A87FD2"/>
    <w:rsid w:val="00A918B9"/>
    <w:rsid w:val="00A91A7C"/>
    <w:rsid w:val="00A92188"/>
    <w:rsid w:val="00A92ACA"/>
    <w:rsid w:val="00A93C77"/>
    <w:rsid w:val="00A94378"/>
    <w:rsid w:val="00A948F6"/>
    <w:rsid w:val="00A94D9F"/>
    <w:rsid w:val="00A9569D"/>
    <w:rsid w:val="00A9636C"/>
    <w:rsid w:val="00A969F7"/>
    <w:rsid w:val="00A96B6D"/>
    <w:rsid w:val="00A971AA"/>
    <w:rsid w:val="00A97288"/>
    <w:rsid w:val="00A974B1"/>
    <w:rsid w:val="00AA1579"/>
    <w:rsid w:val="00AA2257"/>
    <w:rsid w:val="00AA22BF"/>
    <w:rsid w:val="00AA239D"/>
    <w:rsid w:val="00AA24A3"/>
    <w:rsid w:val="00AA2990"/>
    <w:rsid w:val="00AA2F59"/>
    <w:rsid w:val="00AA3CCA"/>
    <w:rsid w:val="00AA40A4"/>
    <w:rsid w:val="00AA40B9"/>
    <w:rsid w:val="00AA4EFD"/>
    <w:rsid w:val="00AA4FB9"/>
    <w:rsid w:val="00AA5646"/>
    <w:rsid w:val="00AA5BAD"/>
    <w:rsid w:val="00AA61F7"/>
    <w:rsid w:val="00AA7344"/>
    <w:rsid w:val="00AA7B5A"/>
    <w:rsid w:val="00AA7D81"/>
    <w:rsid w:val="00AB07B1"/>
    <w:rsid w:val="00AB0F98"/>
    <w:rsid w:val="00AB1296"/>
    <w:rsid w:val="00AB1940"/>
    <w:rsid w:val="00AB1A0F"/>
    <w:rsid w:val="00AB1CA7"/>
    <w:rsid w:val="00AB2335"/>
    <w:rsid w:val="00AB282F"/>
    <w:rsid w:val="00AB33C3"/>
    <w:rsid w:val="00AB380A"/>
    <w:rsid w:val="00AB4216"/>
    <w:rsid w:val="00AB4586"/>
    <w:rsid w:val="00AB45BD"/>
    <w:rsid w:val="00AB5E71"/>
    <w:rsid w:val="00AB620B"/>
    <w:rsid w:val="00AB6DFD"/>
    <w:rsid w:val="00AB7342"/>
    <w:rsid w:val="00AB7ACD"/>
    <w:rsid w:val="00AB7FF0"/>
    <w:rsid w:val="00AC0BE2"/>
    <w:rsid w:val="00AC2076"/>
    <w:rsid w:val="00AC2355"/>
    <w:rsid w:val="00AC2A95"/>
    <w:rsid w:val="00AC2BE4"/>
    <w:rsid w:val="00AC3700"/>
    <w:rsid w:val="00AC4064"/>
    <w:rsid w:val="00AC45D7"/>
    <w:rsid w:val="00AC45F6"/>
    <w:rsid w:val="00AC4E0B"/>
    <w:rsid w:val="00AC5E23"/>
    <w:rsid w:val="00AC6CC2"/>
    <w:rsid w:val="00AC72A8"/>
    <w:rsid w:val="00AD02E1"/>
    <w:rsid w:val="00AD0B6E"/>
    <w:rsid w:val="00AD117F"/>
    <w:rsid w:val="00AD1BB4"/>
    <w:rsid w:val="00AD2434"/>
    <w:rsid w:val="00AD43AF"/>
    <w:rsid w:val="00AD4566"/>
    <w:rsid w:val="00AD4688"/>
    <w:rsid w:val="00AD47A0"/>
    <w:rsid w:val="00AD4902"/>
    <w:rsid w:val="00AD57EC"/>
    <w:rsid w:val="00AD5846"/>
    <w:rsid w:val="00AD5DC7"/>
    <w:rsid w:val="00AD5FA2"/>
    <w:rsid w:val="00AD628E"/>
    <w:rsid w:val="00AD6D33"/>
    <w:rsid w:val="00AD7476"/>
    <w:rsid w:val="00AE16DF"/>
    <w:rsid w:val="00AE1911"/>
    <w:rsid w:val="00AE1A09"/>
    <w:rsid w:val="00AE1EB4"/>
    <w:rsid w:val="00AE2FBB"/>
    <w:rsid w:val="00AE38C9"/>
    <w:rsid w:val="00AE3CC8"/>
    <w:rsid w:val="00AE41EE"/>
    <w:rsid w:val="00AE54FA"/>
    <w:rsid w:val="00AE5580"/>
    <w:rsid w:val="00AE56F9"/>
    <w:rsid w:val="00AE5DE4"/>
    <w:rsid w:val="00AE6C91"/>
    <w:rsid w:val="00AE7296"/>
    <w:rsid w:val="00AE7650"/>
    <w:rsid w:val="00AE78CE"/>
    <w:rsid w:val="00AF0649"/>
    <w:rsid w:val="00AF0B27"/>
    <w:rsid w:val="00AF0CB6"/>
    <w:rsid w:val="00AF1500"/>
    <w:rsid w:val="00AF1610"/>
    <w:rsid w:val="00AF19E5"/>
    <w:rsid w:val="00AF29BC"/>
    <w:rsid w:val="00AF2F53"/>
    <w:rsid w:val="00AF3F44"/>
    <w:rsid w:val="00AF4286"/>
    <w:rsid w:val="00AF4CF9"/>
    <w:rsid w:val="00AF607D"/>
    <w:rsid w:val="00AF6E96"/>
    <w:rsid w:val="00AF7E1E"/>
    <w:rsid w:val="00B006DA"/>
    <w:rsid w:val="00B0097B"/>
    <w:rsid w:val="00B02163"/>
    <w:rsid w:val="00B02C8E"/>
    <w:rsid w:val="00B02D9C"/>
    <w:rsid w:val="00B02F29"/>
    <w:rsid w:val="00B034C2"/>
    <w:rsid w:val="00B03A1F"/>
    <w:rsid w:val="00B03BBA"/>
    <w:rsid w:val="00B03C5A"/>
    <w:rsid w:val="00B041EB"/>
    <w:rsid w:val="00B04B0A"/>
    <w:rsid w:val="00B0559A"/>
    <w:rsid w:val="00B05E05"/>
    <w:rsid w:val="00B05E6B"/>
    <w:rsid w:val="00B070E9"/>
    <w:rsid w:val="00B076D1"/>
    <w:rsid w:val="00B07A4A"/>
    <w:rsid w:val="00B07CBB"/>
    <w:rsid w:val="00B1054C"/>
    <w:rsid w:val="00B10CCA"/>
    <w:rsid w:val="00B112A3"/>
    <w:rsid w:val="00B1161C"/>
    <w:rsid w:val="00B13AEF"/>
    <w:rsid w:val="00B14759"/>
    <w:rsid w:val="00B14B9D"/>
    <w:rsid w:val="00B16673"/>
    <w:rsid w:val="00B16D43"/>
    <w:rsid w:val="00B17537"/>
    <w:rsid w:val="00B177AF"/>
    <w:rsid w:val="00B226F9"/>
    <w:rsid w:val="00B24215"/>
    <w:rsid w:val="00B25697"/>
    <w:rsid w:val="00B257C6"/>
    <w:rsid w:val="00B25C30"/>
    <w:rsid w:val="00B25DE0"/>
    <w:rsid w:val="00B2686E"/>
    <w:rsid w:val="00B30156"/>
    <w:rsid w:val="00B3018D"/>
    <w:rsid w:val="00B30C06"/>
    <w:rsid w:val="00B313F9"/>
    <w:rsid w:val="00B3168B"/>
    <w:rsid w:val="00B31E09"/>
    <w:rsid w:val="00B323E5"/>
    <w:rsid w:val="00B324C8"/>
    <w:rsid w:val="00B3302D"/>
    <w:rsid w:val="00B34748"/>
    <w:rsid w:val="00B3533C"/>
    <w:rsid w:val="00B3534B"/>
    <w:rsid w:val="00B3683E"/>
    <w:rsid w:val="00B376B4"/>
    <w:rsid w:val="00B379A8"/>
    <w:rsid w:val="00B379BC"/>
    <w:rsid w:val="00B4000A"/>
    <w:rsid w:val="00B401EF"/>
    <w:rsid w:val="00B4024D"/>
    <w:rsid w:val="00B4078C"/>
    <w:rsid w:val="00B411B8"/>
    <w:rsid w:val="00B4133B"/>
    <w:rsid w:val="00B413C4"/>
    <w:rsid w:val="00B41879"/>
    <w:rsid w:val="00B41F1F"/>
    <w:rsid w:val="00B42467"/>
    <w:rsid w:val="00B42689"/>
    <w:rsid w:val="00B434A7"/>
    <w:rsid w:val="00B44C9C"/>
    <w:rsid w:val="00B44D77"/>
    <w:rsid w:val="00B44E4F"/>
    <w:rsid w:val="00B45459"/>
    <w:rsid w:val="00B45829"/>
    <w:rsid w:val="00B45966"/>
    <w:rsid w:val="00B45E7E"/>
    <w:rsid w:val="00B46514"/>
    <w:rsid w:val="00B504BF"/>
    <w:rsid w:val="00B50CD9"/>
    <w:rsid w:val="00B51443"/>
    <w:rsid w:val="00B518AC"/>
    <w:rsid w:val="00B5307F"/>
    <w:rsid w:val="00B5315B"/>
    <w:rsid w:val="00B532D1"/>
    <w:rsid w:val="00B53BE9"/>
    <w:rsid w:val="00B54A77"/>
    <w:rsid w:val="00B54F4F"/>
    <w:rsid w:val="00B564A5"/>
    <w:rsid w:val="00B56694"/>
    <w:rsid w:val="00B56705"/>
    <w:rsid w:val="00B56EEB"/>
    <w:rsid w:val="00B57253"/>
    <w:rsid w:val="00B57DC5"/>
    <w:rsid w:val="00B6221F"/>
    <w:rsid w:val="00B62D30"/>
    <w:rsid w:val="00B648D7"/>
    <w:rsid w:val="00B64E49"/>
    <w:rsid w:val="00B65030"/>
    <w:rsid w:val="00B65357"/>
    <w:rsid w:val="00B65E50"/>
    <w:rsid w:val="00B670F2"/>
    <w:rsid w:val="00B6774B"/>
    <w:rsid w:val="00B67791"/>
    <w:rsid w:val="00B6781F"/>
    <w:rsid w:val="00B67911"/>
    <w:rsid w:val="00B7018C"/>
    <w:rsid w:val="00B707E6"/>
    <w:rsid w:val="00B7126D"/>
    <w:rsid w:val="00B7220F"/>
    <w:rsid w:val="00B731CE"/>
    <w:rsid w:val="00B7422B"/>
    <w:rsid w:val="00B74D22"/>
    <w:rsid w:val="00B75184"/>
    <w:rsid w:val="00B75A2A"/>
    <w:rsid w:val="00B767A0"/>
    <w:rsid w:val="00B76AA9"/>
    <w:rsid w:val="00B77FEA"/>
    <w:rsid w:val="00B807F8"/>
    <w:rsid w:val="00B80E1D"/>
    <w:rsid w:val="00B815A5"/>
    <w:rsid w:val="00B81BD4"/>
    <w:rsid w:val="00B828D6"/>
    <w:rsid w:val="00B8486A"/>
    <w:rsid w:val="00B84946"/>
    <w:rsid w:val="00B858EE"/>
    <w:rsid w:val="00B85E43"/>
    <w:rsid w:val="00B86645"/>
    <w:rsid w:val="00B87711"/>
    <w:rsid w:val="00B9039C"/>
    <w:rsid w:val="00B908AB"/>
    <w:rsid w:val="00B90DAB"/>
    <w:rsid w:val="00B911AA"/>
    <w:rsid w:val="00B91307"/>
    <w:rsid w:val="00B91D94"/>
    <w:rsid w:val="00B91FFA"/>
    <w:rsid w:val="00B9239D"/>
    <w:rsid w:val="00B92489"/>
    <w:rsid w:val="00B928D7"/>
    <w:rsid w:val="00B92908"/>
    <w:rsid w:val="00B92C4D"/>
    <w:rsid w:val="00B93D84"/>
    <w:rsid w:val="00B96890"/>
    <w:rsid w:val="00B96FC9"/>
    <w:rsid w:val="00B977ED"/>
    <w:rsid w:val="00B97AC2"/>
    <w:rsid w:val="00B97FC9"/>
    <w:rsid w:val="00BA265B"/>
    <w:rsid w:val="00BA2811"/>
    <w:rsid w:val="00BA295E"/>
    <w:rsid w:val="00BA2A4B"/>
    <w:rsid w:val="00BA6315"/>
    <w:rsid w:val="00BA66E0"/>
    <w:rsid w:val="00BA704A"/>
    <w:rsid w:val="00BA77F1"/>
    <w:rsid w:val="00BA78EA"/>
    <w:rsid w:val="00BA7C22"/>
    <w:rsid w:val="00BB35B1"/>
    <w:rsid w:val="00BB3924"/>
    <w:rsid w:val="00BB53A2"/>
    <w:rsid w:val="00BB5E47"/>
    <w:rsid w:val="00BB768B"/>
    <w:rsid w:val="00BB7C98"/>
    <w:rsid w:val="00BC09E1"/>
    <w:rsid w:val="00BC1DEA"/>
    <w:rsid w:val="00BC2453"/>
    <w:rsid w:val="00BC3DBE"/>
    <w:rsid w:val="00BC54E0"/>
    <w:rsid w:val="00BC5882"/>
    <w:rsid w:val="00BC5B37"/>
    <w:rsid w:val="00BC6379"/>
    <w:rsid w:val="00BC6C65"/>
    <w:rsid w:val="00BC6FCF"/>
    <w:rsid w:val="00BC72EC"/>
    <w:rsid w:val="00BC7AC7"/>
    <w:rsid w:val="00BD0123"/>
    <w:rsid w:val="00BD03BD"/>
    <w:rsid w:val="00BD079E"/>
    <w:rsid w:val="00BD1C36"/>
    <w:rsid w:val="00BD289E"/>
    <w:rsid w:val="00BD389E"/>
    <w:rsid w:val="00BD3E53"/>
    <w:rsid w:val="00BD41E2"/>
    <w:rsid w:val="00BD45B1"/>
    <w:rsid w:val="00BD4949"/>
    <w:rsid w:val="00BD50C8"/>
    <w:rsid w:val="00BE0E31"/>
    <w:rsid w:val="00BE1280"/>
    <w:rsid w:val="00BE1295"/>
    <w:rsid w:val="00BE1402"/>
    <w:rsid w:val="00BE1DF9"/>
    <w:rsid w:val="00BE1FDC"/>
    <w:rsid w:val="00BE25EB"/>
    <w:rsid w:val="00BE2C54"/>
    <w:rsid w:val="00BE2DEE"/>
    <w:rsid w:val="00BE3425"/>
    <w:rsid w:val="00BE3639"/>
    <w:rsid w:val="00BE4713"/>
    <w:rsid w:val="00BE4CD8"/>
    <w:rsid w:val="00BE4F36"/>
    <w:rsid w:val="00BE551D"/>
    <w:rsid w:val="00BE6017"/>
    <w:rsid w:val="00BE7604"/>
    <w:rsid w:val="00BE7C3F"/>
    <w:rsid w:val="00BE7C4C"/>
    <w:rsid w:val="00BF06C9"/>
    <w:rsid w:val="00BF1DB9"/>
    <w:rsid w:val="00BF203B"/>
    <w:rsid w:val="00BF2590"/>
    <w:rsid w:val="00BF2A37"/>
    <w:rsid w:val="00BF2F06"/>
    <w:rsid w:val="00BF38D1"/>
    <w:rsid w:val="00BF3945"/>
    <w:rsid w:val="00BF3975"/>
    <w:rsid w:val="00BF43B7"/>
    <w:rsid w:val="00BF46BE"/>
    <w:rsid w:val="00BF5E41"/>
    <w:rsid w:val="00BF640D"/>
    <w:rsid w:val="00BF653A"/>
    <w:rsid w:val="00BF70F4"/>
    <w:rsid w:val="00BF74F6"/>
    <w:rsid w:val="00C00293"/>
    <w:rsid w:val="00C0050C"/>
    <w:rsid w:val="00C01217"/>
    <w:rsid w:val="00C01C9C"/>
    <w:rsid w:val="00C0293D"/>
    <w:rsid w:val="00C02D37"/>
    <w:rsid w:val="00C04E96"/>
    <w:rsid w:val="00C04EFB"/>
    <w:rsid w:val="00C05280"/>
    <w:rsid w:val="00C0667C"/>
    <w:rsid w:val="00C077CA"/>
    <w:rsid w:val="00C07A3C"/>
    <w:rsid w:val="00C07EC6"/>
    <w:rsid w:val="00C10AD9"/>
    <w:rsid w:val="00C11095"/>
    <w:rsid w:val="00C1116A"/>
    <w:rsid w:val="00C11826"/>
    <w:rsid w:val="00C13640"/>
    <w:rsid w:val="00C13D0C"/>
    <w:rsid w:val="00C1539D"/>
    <w:rsid w:val="00C16BA4"/>
    <w:rsid w:val="00C17648"/>
    <w:rsid w:val="00C2059A"/>
    <w:rsid w:val="00C212D2"/>
    <w:rsid w:val="00C2242E"/>
    <w:rsid w:val="00C22755"/>
    <w:rsid w:val="00C22E4E"/>
    <w:rsid w:val="00C23015"/>
    <w:rsid w:val="00C2336D"/>
    <w:rsid w:val="00C2393A"/>
    <w:rsid w:val="00C23BD3"/>
    <w:rsid w:val="00C24234"/>
    <w:rsid w:val="00C2427F"/>
    <w:rsid w:val="00C247D7"/>
    <w:rsid w:val="00C24808"/>
    <w:rsid w:val="00C24EF4"/>
    <w:rsid w:val="00C25227"/>
    <w:rsid w:val="00C25742"/>
    <w:rsid w:val="00C25A88"/>
    <w:rsid w:val="00C25D4A"/>
    <w:rsid w:val="00C2659C"/>
    <w:rsid w:val="00C26CC1"/>
    <w:rsid w:val="00C3080E"/>
    <w:rsid w:val="00C30DF6"/>
    <w:rsid w:val="00C30E07"/>
    <w:rsid w:val="00C3190B"/>
    <w:rsid w:val="00C31AA4"/>
    <w:rsid w:val="00C32BF9"/>
    <w:rsid w:val="00C3495D"/>
    <w:rsid w:val="00C34F7F"/>
    <w:rsid w:val="00C356C6"/>
    <w:rsid w:val="00C35E86"/>
    <w:rsid w:val="00C360BB"/>
    <w:rsid w:val="00C36651"/>
    <w:rsid w:val="00C367E7"/>
    <w:rsid w:val="00C370C4"/>
    <w:rsid w:val="00C3752F"/>
    <w:rsid w:val="00C41888"/>
    <w:rsid w:val="00C423D9"/>
    <w:rsid w:val="00C42DEA"/>
    <w:rsid w:val="00C44433"/>
    <w:rsid w:val="00C45B4F"/>
    <w:rsid w:val="00C46231"/>
    <w:rsid w:val="00C462CD"/>
    <w:rsid w:val="00C473F2"/>
    <w:rsid w:val="00C47EE7"/>
    <w:rsid w:val="00C501A5"/>
    <w:rsid w:val="00C5076E"/>
    <w:rsid w:val="00C51A7C"/>
    <w:rsid w:val="00C51FAE"/>
    <w:rsid w:val="00C5224F"/>
    <w:rsid w:val="00C523DA"/>
    <w:rsid w:val="00C52FB0"/>
    <w:rsid w:val="00C55D33"/>
    <w:rsid w:val="00C56164"/>
    <w:rsid w:val="00C564CF"/>
    <w:rsid w:val="00C56E7A"/>
    <w:rsid w:val="00C57082"/>
    <w:rsid w:val="00C6071A"/>
    <w:rsid w:val="00C60914"/>
    <w:rsid w:val="00C610D4"/>
    <w:rsid w:val="00C62277"/>
    <w:rsid w:val="00C629A9"/>
    <w:rsid w:val="00C62D02"/>
    <w:rsid w:val="00C62D68"/>
    <w:rsid w:val="00C634E3"/>
    <w:rsid w:val="00C63FF0"/>
    <w:rsid w:val="00C64459"/>
    <w:rsid w:val="00C64A48"/>
    <w:rsid w:val="00C64B4F"/>
    <w:rsid w:val="00C64EF5"/>
    <w:rsid w:val="00C654CB"/>
    <w:rsid w:val="00C6552F"/>
    <w:rsid w:val="00C65BE8"/>
    <w:rsid w:val="00C65EA6"/>
    <w:rsid w:val="00C65F41"/>
    <w:rsid w:val="00C67425"/>
    <w:rsid w:val="00C67B60"/>
    <w:rsid w:val="00C67DF5"/>
    <w:rsid w:val="00C67F2D"/>
    <w:rsid w:val="00C70DC8"/>
    <w:rsid w:val="00C70DE5"/>
    <w:rsid w:val="00C71AD2"/>
    <w:rsid w:val="00C71FA4"/>
    <w:rsid w:val="00C72166"/>
    <w:rsid w:val="00C72F4E"/>
    <w:rsid w:val="00C74032"/>
    <w:rsid w:val="00C741B6"/>
    <w:rsid w:val="00C741D8"/>
    <w:rsid w:val="00C74230"/>
    <w:rsid w:val="00C74734"/>
    <w:rsid w:val="00C74BCD"/>
    <w:rsid w:val="00C74DA4"/>
    <w:rsid w:val="00C76061"/>
    <w:rsid w:val="00C7663A"/>
    <w:rsid w:val="00C76837"/>
    <w:rsid w:val="00C76932"/>
    <w:rsid w:val="00C76F05"/>
    <w:rsid w:val="00C77024"/>
    <w:rsid w:val="00C774E1"/>
    <w:rsid w:val="00C776FF"/>
    <w:rsid w:val="00C80090"/>
    <w:rsid w:val="00C80ABB"/>
    <w:rsid w:val="00C81639"/>
    <w:rsid w:val="00C818AE"/>
    <w:rsid w:val="00C81B1A"/>
    <w:rsid w:val="00C833FD"/>
    <w:rsid w:val="00C83695"/>
    <w:rsid w:val="00C83C24"/>
    <w:rsid w:val="00C83DAF"/>
    <w:rsid w:val="00C8468A"/>
    <w:rsid w:val="00C85991"/>
    <w:rsid w:val="00C859A6"/>
    <w:rsid w:val="00C8702D"/>
    <w:rsid w:val="00C8733A"/>
    <w:rsid w:val="00C877C2"/>
    <w:rsid w:val="00C901C8"/>
    <w:rsid w:val="00C91111"/>
    <w:rsid w:val="00C91509"/>
    <w:rsid w:val="00C9188B"/>
    <w:rsid w:val="00C92519"/>
    <w:rsid w:val="00C9360B"/>
    <w:rsid w:val="00C93806"/>
    <w:rsid w:val="00C93C04"/>
    <w:rsid w:val="00C93CB7"/>
    <w:rsid w:val="00C93F69"/>
    <w:rsid w:val="00C949E0"/>
    <w:rsid w:val="00C95005"/>
    <w:rsid w:val="00C96BC4"/>
    <w:rsid w:val="00C97410"/>
    <w:rsid w:val="00C97A8A"/>
    <w:rsid w:val="00CA17AB"/>
    <w:rsid w:val="00CA24B3"/>
    <w:rsid w:val="00CA2643"/>
    <w:rsid w:val="00CA3078"/>
    <w:rsid w:val="00CA384E"/>
    <w:rsid w:val="00CA3BFF"/>
    <w:rsid w:val="00CA5110"/>
    <w:rsid w:val="00CA51CB"/>
    <w:rsid w:val="00CA5450"/>
    <w:rsid w:val="00CA6352"/>
    <w:rsid w:val="00CA6730"/>
    <w:rsid w:val="00CA7630"/>
    <w:rsid w:val="00CA7D3C"/>
    <w:rsid w:val="00CA7DEA"/>
    <w:rsid w:val="00CA7EF8"/>
    <w:rsid w:val="00CB369E"/>
    <w:rsid w:val="00CB49AB"/>
    <w:rsid w:val="00CB569C"/>
    <w:rsid w:val="00CB5915"/>
    <w:rsid w:val="00CB62C7"/>
    <w:rsid w:val="00CB6E61"/>
    <w:rsid w:val="00CB6FA8"/>
    <w:rsid w:val="00CB733D"/>
    <w:rsid w:val="00CB787D"/>
    <w:rsid w:val="00CC146F"/>
    <w:rsid w:val="00CC2928"/>
    <w:rsid w:val="00CC2A8F"/>
    <w:rsid w:val="00CC33C7"/>
    <w:rsid w:val="00CC3DC8"/>
    <w:rsid w:val="00CC46E2"/>
    <w:rsid w:val="00CC4729"/>
    <w:rsid w:val="00CC514C"/>
    <w:rsid w:val="00CC5180"/>
    <w:rsid w:val="00CC5349"/>
    <w:rsid w:val="00CC54D9"/>
    <w:rsid w:val="00CC595C"/>
    <w:rsid w:val="00CC5E79"/>
    <w:rsid w:val="00CC63AD"/>
    <w:rsid w:val="00CC6801"/>
    <w:rsid w:val="00CC6DD5"/>
    <w:rsid w:val="00CC6F21"/>
    <w:rsid w:val="00CC7C5A"/>
    <w:rsid w:val="00CD084C"/>
    <w:rsid w:val="00CD0A91"/>
    <w:rsid w:val="00CD180B"/>
    <w:rsid w:val="00CD1DDC"/>
    <w:rsid w:val="00CD1EF8"/>
    <w:rsid w:val="00CD313F"/>
    <w:rsid w:val="00CD33D4"/>
    <w:rsid w:val="00CD3449"/>
    <w:rsid w:val="00CD3D5F"/>
    <w:rsid w:val="00CD48EC"/>
    <w:rsid w:val="00CD57A8"/>
    <w:rsid w:val="00CD6171"/>
    <w:rsid w:val="00CD7661"/>
    <w:rsid w:val="00CD7A24"/>
    <w:rsid w:val="00CE000B"/>
    <w:rsid w:val="00CE07DE"/>
    <w:rsid w:val="00CE0C39"/>
    <w:rsid w:val="00CE1FDE"/>
    <w:rsid w:val="00CE26A3"/>
    <w:rsid w:val="00CE27C0"/>
    <w:rsid w:val="00CE357C"/>
    <w:rsid w:val="00CE3EB7"/>
    <w:rsid w:val="00CE4738"/>
    <w:rsid w:val="00CE506B"/>
    <w:rsid w:val="00CE6982"/>
    <w:rsid w:val="00CE6A9C"/>
    <w:rsid w:val="00CE6C04"/>
    <w:rsid w:val="00CE76E9"/>
    <w:rsid w:val="00CE7FEC"/>
    <w:rsid w:val="00CF0229"/>
    <w:rsid w:val="00CF07A1"/>
    <w:rsid w:val="00CF1173"/>
    <w:rsid w:val="00CF152A"/>
    <w:rsid w:val="00CF1F6B"/>
    <w:rsid w:val="00CF1FCE"/>
    <w:rsid w:val="00CF230C"/>
    <w:rsid w:val="00CF2C75"/>
    <w:rsid w:val="00CF3F72"/>
    <w:rsid w:val="00CF4674"/>
    <w:rsid w:val="00CF4B57"/>
    <w:rsid w:val="00CF6615"/>
    <w:rsid w:val="00CF6EE0"/>
    <w:rsid w:val="00CF6F0B"/>
    <w:rsid w:val="00CF7527"/>
    <w:rsid w:val="00D015EA"/>
    <w:rsid w:val="00D02983"/>
    <w:rsid w:val="00D03147"/>
    <w:rsid w:val="00D03C42"/>
    <w:rsid w:val="00D03C4C"/>
    <w:rsid w:val="00D041C0"/>
    <w:rsid w:val="00D0442B"/>
    <w:rsid w:val="00D050BA"/>
    <w:rsid w:val="00D05505"/>
    <w:rsid w:val="00D0606E"/>
    <w:rsid w:val="00D0667C"/>
    <w:rsid w:val="00D066BE"/>
    <w:rsid w:val="00D069B6"/>
    <w:rsid w:val="00D06EEF"/>
    <w:rsid w:val="00D07608"/>
    <w:rsid w:val="00D100B7"/>
    <w:rsid w:val="00D10356"/>
    <w:rsid w:val="00D1104F"/>
    <w:rsid w:val="00D128DA"/>
    <w:rsid w:val="00D130AF"/>
    <w:rsid w:val="00D15AFC"/>
    <w:rsid w:val="00D16081"/>
    <w:rsid w:val="00D160A6"/>
    <w:rsid w:val="00D162F0"/>
    <w:rsid w:val="00D167AC"/>
    <w:rsid w:val="00D16E26"/>
    <w:rsid w:val="00D201E4"/>
    <w:rsid w:val="00D20D15"/>
    <w:rsid w:val="00D22CB4"/>
    <w:rsid w:val="00D2330D"/>
    <w:rsid w:val="00D239C3"/>
    <w:rsid w:val="00D241EE"/>
    <w:rsid w:val="00D242BB"/>
    <w:rsid w:val="00D25155"/>
    <w:rsid w:val="00D251B9"/>
    <w:rsid w:val="00D25A88"/>
    <w:rsid w:val="00D25FD7"/>
    <w:rsid w:val="00D269F8"/>
    <w:rsid w:val="00D26B11"/>
    <w:rsid w:val="00D2714A"/>
    <w:rsid w:val="00D27637"/>
    <w:rsid w:val="00D30001"/>
    <w:rsid w:val="00D315D8"/>
    <w:rsid w:val="00D31F3A"/>
    <w:rsid w:val="00D3217E"/>
    <w:rsid w:val="00D32BA3"/>
    <w:rsid w:val="00D33B1B"/>
    <w:rsid w:val="00D347C0"/>
    <w:rsid w:val="00D34BB7"/>
    <w:rsid w:val="00D34D42"/>
    <w:rsid w:val="00D34FA0"/>
    <w:rsid w:val="00D36877"/>
    <w:rsid w:val="00D368B1"/>
    <w:rsid w:val="00D37127"/>
    <w:rsid w:val="00D37A9A"/>
    <w:rsid w:val="00D37D36"/>
    <w:rsid w:val="00D407B3"/>
    <w:rsid w:val="00D40CE3"/>
    <w:rsid w:val="00D40DCA"/>
    <w:rsid w:val="00D40F14"/>
    <w:rsid w:val="00D40FEB"/>
    <w:rsid w:val="00D411D4"/>
    <w:rsid w:val="00D44083"/>
    <w:rsid w:val="00D44E9B"/>
    <w:rsid w:val="00D45732"/>
    <w:rsid w:val="00D45C35"/>
    <w:rsid w:val="00D460BE"/>
    <w:rsid w:val="00D5027F"/>
    <w:rsid w:val="00D5053D"/>
    <w:rsid w:val="00D512F7"/>
    <w:rsid w:val="00D51698"/>
    <w:rsid w:val="00D5179B"/>
    <w:rsid w:val="00D52206"/>
    <w:rsid w:val="00D52706"/>
    <w:rsid w:val="00D53A74"/>
    <w:rsid w:val="00D54B44"/>
    <w:rsid w:val="00D54B65"/>
    <w:rsid w:val="00D55D38"/>
    <w:rsid w:val="00D57589"/>
    <w:rsid w:val="00D619D5"/>
    <w:rsid w:val="00D622D5"/>
    <w:rsid w:val="00D62B42"/>
    <w:rsid w:val="00D62C17"/>
    <w:rsid w:val="00D630AC"/>
    <w:rsid w:val="00D6384E"/>
    <w:rsid w:val="00D63A9B"/>
    <w:rsid w:val="00D640CA"/>
    <w:rsid w:val="00D64DE2"/>
    <w:rsid w:val="00D654A6"/>
    <w:rsid w:val="00D6562C"/>
    <w:rsid w:val="00D65D54"/>
    <w:rsid w:val="00D65ECF"/>
    <w:rsid w:val="00D66587"/>
    <w:rsid w:val="00D66762"/>
    <w:rsid w:val="00D7025F"/>
    <w:rsid w:val="00D702BF"/>
    <w:rsid w:val="00D71DAB"/>
    <w:rsid w:val="00D71FD6"/>
    <w:rsid w:val="00D72297"/>
    <w:rsid w:val="00D7262A"/>
    <w:rsid w:val="00D72D98"/>
    <w:rsid w:val="00D72F9B"/>
    <w:rsid w:val="00D738A8"/>
    <w:rsid w:val="00D74982"/>
    <w:rsid w:val="00D75026"/>
    <w:rsid w:val="00D76197"/>
    <w:rsid w:val="00D76BF0"/>
    <w:rsid w:val="00D772E3"/>
    <w:rsid w:val="00D801E4"/>
    <w:rsid w:val="00D8026C"/>
    <w:rsid w:val="00D813D1"/>
    <w:rsid w:val="00D81465"/>
    <w:rsid w:val="00D81928"/>
    <w:rsid w:val="00D81943"/>
    <w:rsid w:val="00D8203C"/>
    <w:rsid w:val="00D82B94"/>
    <w:rsid w:val="00D839B8"/>
    <w:rsid w:val="00D846DD"/>
    <w:rsid w:val="00D847D6"/>
    <w:rsid w:val="00D853C5"/>
    <w:rsid w:val="00D856DB"/>
    <w:rsid w:val="00D87418"/>
    <w:rsid w:val="00D909BB"/>
    <w:rsid w:val="00D90EDE"/>
    <w:rsid w:val="00D9280C"/>
    <w:rsid w:val="00D92A3E"/>
    <w:rsid w:val="00D92F1C"/>
    <w:rsid w:val="00D93FAE"/>
    <w:rsid w:val="00D94482"/>
    <w:rsid w:val="00D947B0"/>
    <w:rsid w:val="00D953AF"/>
    <w:rsid w:val="00D959EE"/>
    <w:rsid w:val="00D95C85"/>
    <w:rsid w:val="00D960F2"/>
    <w:rsid w:val="00D968A1"/>
    <w:rsid w:val="00D96E81"/>
    <w:rsid w:val="00D971C4"/>
    <w:rsid w:val="00D978CB"/>
    <w:rsid w:val="00D97E86"/>
    <w:rsid w:val="00DA0127"/>
    <w:rsid w:val="00DA191D"/>
    <w:rsid w:val="00DA25CA"/>
    <w:rsid w:val="00DA25CD"/>
    <w:rsid w:val="00DA26E8"/>
    <w:rsid w:val="00DA3DA0"/>
    <w:rsid w:val="00DA3E4F"/>
    <w:rsid w:val="00DA3EF2"/>
    <w:rsid w:val="00DA44CC"/>
    <w:rsid w:val="00DA4874"/>
    <w:rsid w:val="00DA4899"/>
    <w:rsid w:val="00DA4DF5"/>
    <w:rsid w:val="00DA6087"/>
    <w:rsid w:val="00DA6D3E"/>
    <w:rsid w:val="00DB00F3"/>
    <w:rsid w:val="00DB0E52"/>
    <w:rsid w:val="00DB135B"/>
    <w:rsid w:val="00DB1865"/>
    <w:rsid w:val="00DB1E4A"/>
    <w:rsid w:val="00DB22EE"/>
    <w:rsid w:val="00DB23D9"/>
    <w:rsid w:val="00DB2895"/>
    <w:rsid w:val="00DB41DE"/>
    <w:rsid w:val="00DB48FE"/>
    <w:rsid w:val="00DB493B"/>
    <w:rsid w:val="00DB4AFE"/>
    <w:rsid w:val="00DB516C"/>
    <w:rsid w:val="00DB5170"/>
    <w:rsid w:val="00DB6F30"/>
    <w:rsid w:val="00DB707A"/>
    <w:rsid w:val="00DC00AF"/>
    <w:rsid w:val="00DC07EC"/>
    <w:rsid w:val="00DC183B"/>
    <w:rsid w:val="00DC18B2"/>
    <w:rsid w:val="00DC2D30"/>
    <w:rsid w:val="00DC312F"/>
    <w:rsid w:val="00DC43E1"/>
    <w:rsid w:val="00DC51EF"/>
    <w:rsid w:val="00DC5892"/>
    <w:rsid w:val="00DC59B5"/>
    <w:rsid w:val="00DC61BD"/>
    <w:rsid w:val="00DC6CE4"/>
    <w:rsid w:val="00DC7136"/>
    <w:rsid w:val="00DC7987"/>
    <w:rsid w:val="00DD02A6"/>
    <w:rsid w:val="00DD0B1F"/>
    <w:rsid w:val="00DD25A6"/>
    <w:rsid w:val="00DD27DA"/>
    <w:rsid w:val="00DD2E94"/>
    <w:rsid w:val="00DD2EB1"/>
    <w:rsid w:val="00DD3240"/>
    <w:rsid w:val="00DD3696"/>
    <w:rsid w:val="00DD37C5"/>
    <w:rsid w:val="00DD3951"/>
    <w:rsid w:val="00DD471B"/>
    <w:rsid w:val="00DD62EE"/>
    <w:rsid w:val="00DD727F"/>
    <w:rsid w:val="00DD7537"/>
    <w:rsid w:val="00DD7EE3"/>
    <w:rsid w:val="00DE2151"/>
    <w:rsid w:val="00DE3978"/>
    <w:rsid w:val="00DE4099"/>
    <w:rsid w:val="00DE4693"/>
    <w:rsid w:val="00DE475A"/>
    <w:rsid w:val="00DE4E29"/>
    <w:rsid w:val="00DE551E"/>
    <w:rsid w:val="00DE621E"/>
    <w:rsid w:val="00DE73A8"/>
    <w:rsid w:val="00DE7A3A"/>
    <w:rsid w:val="00DF1CA3"/>
    <w:rsid w:val="00DF22C8"/>
    <w:rsid w:val="00DF275B"/>
    <w:rsid w:val="00DF27D8"/>
    <w:rsid w:val="00DF2C99"/>
    <w:rsid w:val="00DF34BF"/>
    <w:rsid w:val="00DF3FE2"/>
    <w:rsid w:val="00DF40E9"/>
    <w:rsid w:val="00DF4343"/>
    <w:rsid w:val="00DF43B4"/>
    <w:rsid w:val="00DF4753"/>
    <w:rsid w:val="00DF4B23"/>
    <w:rsid w:val="00DF60D8"/>
    <w:rsid w:val="00DF6487"/>
    <w:rsid w:val="00DF652C"/>
    <w:rsid w:val="00DF7480"/>
    <w:rsid w:val="00E013FC"/>
    <w:rsid w:val="00E01860"/>
    <w:rsid w:val="00E020C0"/>
    <w:rsid w:val="00E024CA"/>
    <w:rsid w:val="00E0261C"/>
    <w:rsid w:val="00E0287E"/>
    <w:rsid w:val="00E02A73"/>
    <w:rsid w:val="00E02D2B"/>
    <w:rsid w:val="00E04961"/>
    <w:rsid w:val="00E04FA7"/>
    <w:rsid w:val="00E05495"/>
    <w:rsid w:val="00E0594D"/>
    <w:rsid w:val="00E05A37"/>
    <w:rsid w:val="00E05A8B"/>
    <w:rsid w:val="00E05DDE"/>
    <w:rsid w:val="00E060D7"/>
    <w:rsid w:val="00E061AF"/>
    <w:rsid w:val="00E06812"/>
    <w:rsid w:val="00E0696E"/>
    <w:rsid w:val="00E06F19"/>
    <w:rsid w:val="00E072AC"/>
    <w:rsid w:val="00E102BF"/>
    <w:rsid w:val="00E109E7"/>
    <w:rsid w:val="00E11DCE"/>
    <w:rsid w:val="00E1303B"/>
    <w:rsid w:val="00E13CB6"/>
    <w:rsid w:val="00E142B3"/>
    <w:rsid w:val="00E148C2"/>
    <w:rsid w:val="00E14E30"/>
    <w:rsid w:val="00E14F36"/>
    <w:rsid w:val="00E15015"/>
    <w:rsid w:val="00E15B91"/>
    <w:rsid w:val="00E15DAF"/>
    <w:rsid w:val="00E16370"/>
    <w:rsid w:val="00E16C79"/>
    <w:rsid w:val="00E16EC1"/>
    <w:rsid w:val="00E1732C"/>
    <w:rsid w:val="00E174A2"/>
    <w:rsid w:val="00E1750C"/>
    <w:rsid w:val="00E17A7A"/>
    <w:rsid w:val="00E2094C"/>
    <w:rsid w:val="00E20E9F"/>
    <w:rsid w:val="00E21884"/>
    <w:rsid w:val="00E21B7B"/>
    <w:rsid w:val="00E22B1E"/>
    <w:rsid w:val="00E23991"/>
    <w:rsid w:val="00E241BB"/>
    <w:rsid w:val="00E245EC"/>
    <w:rsid w:val="00E2471A"/>
    <w:rsid w:val="00E24889"/>
    <w:rsid w:val="00E2498E"/>
    <w:rsid w:val="00E25BBE"/>
    <w:rsid w:val="00E25CCD"/>
    <w:rsid w:val="00E25E48"/>
    <w:rsid w:val="00E267FB"/>
    <w:rsid w:val="00E26983"/>
    <w:rsid w:val="00E2781E"/>
    <w:rsid w:val="00E30395"/>
    <w:rsid w:val="00E30B71"/>
    <w:rsid w:val="00E317C3"/>
    <w:rsid w:val="00E33573"/>
    <w:rsid w:val="00E350EF"/>
    <w:rsid w:val="00E36B29"/>
    <w:rsid w:val="00E370F6"/>
    <w:rsid w:val="00E414C2"/>
    <w:rsid w:val="00E42D8C"/>
    <w:rsid w:val="00E43036"/>
    <w:rsid w:val="00E43BA9"/>
    <w:rsid w:val="00E43CD8"/>
    <w:rsid w:val="00E43E38"/>
    <w:rsid w:val="00E441C4"/>
    <w:rsid w:val="00E44394"/>
    <w:rsid w:val="00E454B0"/>
    <w:rsid w:val="00E45869"/>
    <w:rsid w:val="00E45DFC"/>
    <w:rsid w:val="00E46AAF"/>
    <w:rsid w:val="00E46E8B"/>
    <w:rsid w:val="00E5022C"/>
    <w:rsid w:val="00E5068B"/>
    <w:rsid w:val="00E510B5"/>
    <w:rsid w:val="00E51E0A"/>
    <w:rsid w:val="00E522C5"/>
    <w:rsid w:val="00E528C6"/>
    <w:rsid w:val="00E52BBD"/>
    <w:rsid w:val="00E537D1"/>
    <w:rsid w:val="00E53ABE"/>
    <w:rsid w:val="00E553F9"/>
    <w:rsid w:val="00E55F3A"/>
    <w:rsid w:val="00E56586"/>
    <w:rsid w:val="00E566DA"/>
    <w:rsid w:val="00E57681"/>
    <w:rsid w:val="00E579DC"/>
    <w:rsid w:val="00E57BF1"/>
    <w:rsid w:val="00E6333A"/>
    <w:rsid w:val="00E636FD"/>
    <w:rsid w:val="00E63F5B"/>
    <w:rsid w:val="00E64937"/>
    <w:rsid w:val="00E6506C"/>
    <w:rsid w:val="00E65E34"/>
    <w:rsid w:val="00E66084"/>
    <w:rsid w:val="00E664D2"/>
    <w:rsid w:val="00E66961"/>
    <w:rsid w:val="00E66E66"/>
    <w:rsid w:val="00E6757C"/>
    <w:rsid w:val="00E67D50"/>
    <w:rsid w:val="00E701CD"/>
    <w:rsid w:val="00E70F68"/>
    <w:rsid w:val="00E71150"/>
    <w:rsid w:val="00E730B7"/>
    <w:rsid w:val="00E755A0"/>
    <w:rsid w:val="00E7730B"/>
    <w:rsid w:val="00E77BF3"/>
    <w:rsid w:val="00E77C23"/>
    <w:rsid w:val="00E80BE1"/>
    <w:rsid w:val="00E8190B"/>
    <w:rsid w:val="00E826B9"/>
    <w:rsid w:val="00E82F52"/>
    <w:rsid w:val="00E83719"/>
    <w:rsid w:val="00E83924"/>
    <w:rsid w:val="00E83F94"/>
    <w:rsid w:val="00E84152"/>
    <w:rsid w:val="00E84F8D"/>
    <w:rsid w:val="00E85A9C"/>
    <w:rsid w:val="00E85C50"/>
    <w:rsid w:val="00E85CAD"/>
    <w:rsid w:val="00E8631B"/>
    <w:rsid w:val="00E86DF2"/>
    <w:rsid w:val="00E8789B"/>
    <w:rsid w:val="00E879E7"/>
    <w:rsid w:val="00E90448"/>
    <w:rsid w:val="00E906CF"/>
    <w:rsid w:val="00E90D49"/>
    <w:rsid w:val="00E92C34"/>
    <w:rsid w:val="00E92D12"/>
    <w:rsid w:val="00E937A2"/>
    <w:rsid w:val="00E949AD"/>
    <w:rsid w:val="00E94A81"/>
    <w:rsid w:val="00E95530"/>
    <w:rsid w:val="00E95FB1"/>
    <w:rsid w:val="00E96774"/>
    <w:rsid w:val="00E96BDD"/>
    <w:rsid w:val="00EA18C4"/>
    <w:rsid w:val="00EA193A"/>
    <w:rsid w:val="00EA2D6B"/>
    <w:rsid w:val="00EA3A4A"/>
    <w:rsid w:val="00EA4B5B"/>
    <w:rsid w:val="00EA4BB9"/>
    <w:rsid w:val="00EA52FB"/>
    <w:rsid w:val="00EA5C49"/>
    <w:rsid w:val="00EA5FDD"/>
    <w:rsid w:val="00EA600B"/>
    <w:rsid w:val="00EA66A5"/>
    <w:rsid w:val="00EA68D0"/>
    <w:rsid w:val="00EA6FB9"/>
    <w:rsid w:val="00EA7365"/>
    <w:rsid w:val="00EA7E46"/>
    <w:rsid w:val="00EB0EFF"/>
    <w:rsid w:val="00EB129B"/>
    <w:rsid w:val="00EB14AA"/>
    <w:rsid w:val="00EB1B3D"/>
    <w:rsid w:val="00EB2DD5"/>
    <w:rsid w:val="00EB3170"/>
    <w:rsid w:val="00EB3BDE"/>
    <w:rsid w:val="00EB3C46"/>
    <w:rsid w:val="00EB4B23"/>
    <w:rsid w:val="00EB5680"/>
    <w:rsid w:val="00EB5F31"/>
    <w:rsid w:val="00EB629E"/>
    <w:rsid w:val="00EB7029"/>
    <w:rsid w:val="00EB7946"/>
    <w:rsid w:val="00EC0603"/>
    <w:rsid w:val="00EC1066"/>
    <w:rsid w:val="00EC1287"/>
    <w:rsid w:val="00EC1B27"/>
    <w:rsid w:val="00EC1BCE"/>
    <w:rsid w:val="00EC2F34"/>
    <w:rsid w:val="00EC31DA"/>
    <w:rsid w:val="00EC364F"/>
    <w:rsid w:val="00EC391A"/>
    <w:rsid w:val="00EC3B2C"/>
    <w:rsid w:val="00EC427E"/>
    <w:rsid w:val="00EC43EB"/>
    <w:rsid w:val="00EC49AB"/>
    <w:rsid w:val="00EC5B0B"/>
    <w:rsid w:val="00EC647B"/>
    <w:rsid w:val="00EC6FF7"/>
    <w:rsid w:val="00EC7A59"/>
    <w:rsid w:val="00EC7AE5"/>
    <w:rsid w:val="00ED0FF3"/>
    <w:rsid w:val="00ED1865"/>
    <w:rsid w:val="00ED1B1A"/>
    <w:rsid w:val="00ED20A5"/>
    <w:rsid w:val="00ED27DC"/>
    <w:rsid w:val="00ED27E4"/>
    <w:rsid w:val="00ED3341"/>
    <w:rsid w:val="00ED3368"/>
    <w:rsid w:val="00ED35F5"/>
    <w:rsid w:val="00ED362E"/>
    <w:rsid w:val="00ED516F"/>
    <w:rsid w:val="00ED7FA4"/>
    <w:rsid w:val="00EE1697"/>
    <w:rsid w:val="00EE1B25"/>
    <w:rsid w:val="00EE1D9A"/>
    <w:rsid w:val="00EE2E02"/>
    <w:rsid w:val="00EE474E"/>
    <w:rsid w:val="00EE4B3E"/>
    <w:rsid w:val="00EE56D6"/>
    <w:rsid w:val="00EE614C"/>
    <w:rsid w:val="00EE6D2D"/>
    <w:rsid w:val="00EE7F88"/>
    <w:rsid w:val="00EF0B5C"/>
    <w:rsid w:val="00EF1AFA"/>
    <w:rsid w:val="00EF1BF7"/>
    <w:rsid w:val="00EF237B"/>
    <w:rsid w:val="00EF2817"/>
    <w:rsid w:val="00EF3095"/>
    <w:rsid w:val="00EF344F"/>
    <w:rsid w:val="00EF4018"/>
    <w:rsid w:val="00EF4680"/>
    <w:rsid w:val="00EF65DD"/>
    <w:rsid w:val="00EF6F23"/>
    <w:rsid w:val="00EF7459"/>
    <w:rsid w:val="00EF79C7"/>
    <w:rsid w:val="00F00B89"/>
    <w:rsid w:val="00F0130F"/>
    <w:rsid w:val="00F01313"/>
    <w:rsid w:val="00F01B9B"/>
    <w:rsid w:val="00F01F57"/>
    <w:rsid w:val="00F03C3B"/>
    <w:rsid w:val="00F04046"/>
    <w:rsid w:val="00F04B92"/>
    <w:rsid w:val="00F0603D"/>
    <w:rsid w:val="00F06CDA"/>
    <w:rsid w:val="00F06FC9"/>
    <w:rsid w:val="00F070C2"/>
    <w:rsid w:val="00F076AD"/>
    <w:rsid w:val="00F07A60"/>
    <w:rsid w:val="00F101D8"/>
    <w:rsid w:val="00F11D6F"/>
    <w:rsid w:val="00F1200F"/>
    <w:rsid w:val="00F14445"/>
    <w:rsid w:val="00F14487"/>
    <w:rsid w:val="00F159F3"/>
    <w:rsid w:val="00F15F53"/>
    <w:rsid w:val="00F167B7"/>
    <w:rsid w:val="00F16958"/>
    <w:rsid w:val="00F16FAD"/>
    <w:rsid w:val="00F17E42"/>
    <w:rsid w:val="00F20301"/>
    <w:rsid w:val="00F20A87"/>
    <w:rsid w:val="00F20D81"/>
    <w:rsid w:val="00F20F7F"/>
    <w:rsid w:val="00F211C7"/>
    <w:rsid w:val="00F21C75"/>
    <w:rsid w:val="00F225D6"/>
    <w:rsid w:val="00F241AA"/>
    <w:rsid w:val="00F245BB"/>
    <w:rsid w:val="00F2559E"/>
    <w:rsid w:val="00F26739"/>
    <w:rsid w:val="00F2681A"/>
    <w:rsid w:val="00F2769D"/>
    <w:rsid w:val="00F27C35"/>
    <w:rsid w:val="00F3048B"/>
    <w:rsid w:val="00F31E68"/>
    <w:rsid w:val="00F332E1"/>
    <w:rsid w:val="00F33570"/>
    <w:rsid w:val="00F33881"/>
    <w:rsid w:val="00F34422"/>
    <w:rsid w:val="00F34B08"/>
    <w:rsid w:val="00F34D9B"/>
    <w:rsid w:val="00F35D58"/>
    <w:rsid w:val="00F35E9C"/>
    <w:rsid w:val="00F36101"/>
    <w:rsid w:val="00F362DF"/>
    <w:rsid w:val="00F3770B"/>
    <w:rsid w:val="00F37930"/>
    <w:rsid w:val="00F37A28"/>
    <w:rsid w:val="00F40826"/>
    <w:rsid w:val="00F4099D"/>
    <w:rsid w:val="00F41171"/>
    <w:rsid w:val="00F41630"/>
    <w:rsid w:val="00F41CAF"/>
    <w:rsid w:val="00F41E4E"/>
    <w:rsid w:val="00F4247F"/>
    <w:rsid w:val="00F43A75"/>
    <w:rsid w:val="00F43A87"/>
    <w:rsid w:val="00F43E97"/>
    <w:rsid w:val="00F44593"/>
    <w:rsid w:val="00F448D3"/>
    <w:rsid w:val="00F44D5B"/>
    <w:rsid w:val="00F456A5"/>
    <w:rsid w:val="00F457E8"/>
    <w:rsid w:val="00F45841"/>
    <w:rsid w:val="00F458C1"/>
    <w:rsid w:val="00F4684D"/>
    <w:rsid w:val="00F4723F"/>
    <w:rsid w:val="00F478CD"/>
    <w:rsid w:val="00F478F0"/>
    <w:rsid w:val="00F5297B"/>
    <w:rsid w:val="00F52DB9"/>
    <w:rsid w:val="00F532ED"/>
    <w:rsid w:val="00F5393C"/>
    <w:rsid w:val="00F5398E"/>
    <w:rsid w:val="00F53E25"/>
    <w:rsid w:val="00F53F2D"/>
    <w:rsid w:val="00F548AD"/>
    <w:rsid w:val="00F54A2A"/>
    <w:rsid w:val="00F60182"/>
    <w:rsid w:val="00F62194"/>
    <w:rsid w:val="00F624CF"/>
    <w:rsid w:val="00F62A01"/>
    <w:rsid w:val="00F63728"/>
    <w:rsid w:val="00F63946"/>
    <w:rsid w:val="00F63EEC"/>
    <w:rsid w:val="00F6508B"/>
    <w:rsid w:val="00F658B2"/>
    <w:rsid w:val="00F65B9B"/>
    <w:rsid w:val="00F65DB0"/>
    <w:rsid w:val="00F66449"/>
    <w:rsid w:val="00F66565"/>
    <w:rsid w:val="00F670B5"/>
    <w:rsid w:val="00F67B2C"/>
    <w:rsid w:val="00F71AE4"/>
    <w:rsid w:val="00F71DCB"/>
    <w:rsid w:val="00F71DFA"/>
    <w:rsid w:val="00F72163"/>
    <w:rsid w:val="00F72890"/>
    <w:rsid w:val="00F72A4C"/>
    <w:rsid w:val="00F73872"/>
    <w:rsid w:val="00F74F2F"/>
    <w:rsid w:val="00F75208"/>
    <w:rsid w:val="00F76688"/>
    <w:rsid w:val="00F77569"/>
    <w:rsid w:val="00F77756"/>
    <w:rsid w:val="00F77BB0"/>
    <w:rsid w:val="00F805F0"/>
    <w:rsid w:val="00F80B43"/>
    <w:rsid w:val="00F80BAF"/>
    <w:rsid w:val="00F80E8B"/>
    <w:rsid w:val="00F8101E"/>
    <w:rsid w:val="00F811BB"/>
    <w:rsid w:val="00F816BF"/>
    <w:rsid w:val="00F81F2E"/>
    <w:rsid w:val="00F826EB"/>
    <w:rsid w:val="00F835F8"/>
    <w:rsid w:val="00F840D3"/>
    <w:rsid w:val="00F84BD5"/>
    <w:rsid w:val="00F84E65"/>
    <w:rsid w:val="00F857ED"/>
    <w:rsid w:val="00F86627"/>
    <w:rsid w:val="00F86925"/>
    <w:rsid w:val="00F87C29"/>
    <w:rsid w:val="00F90ABA"/>
    <w:rsid w:val="00F918F0"/>
    <w:rsid w:val="00F91CA6"/>
    <w:rsid w:val="00F92096"/>
    <w:rsid w:val="00F92B29"/>
    <w:rsid w:val="00F9319C"/>
    <w:rsid w:val="00F93F5A"/>
    <w:rsid w:val="00F940C5"/>
    <w:rsid w:val="00F9467B"/>
    <w:rsid w:val="00F94A1C"/>
    <w:rsid w:val="00F955B2"/>
    <w:rsid w:val="00F965E1"/>
    <w:rsid w:val="00F96745"/>
    <w:rsid w:val="00F97041"/>
    <w:rsid w:val="00F9720F"/>
    <w:rsid w:val="00F976D2"/>
    <w:rsid w:val="00FA1287"/>
    <w:rsid w:val="00FA1C81"/>
    <w:rsid w:val="00FA218A"/>
    <w:rsid w:val="00FA22FC"/>
    <w:rsid w:val="00FA2C8F"/>
    <w:rsid w:val="00FA3489"/>
    <w:rsid w:val="00FA3528"/>
    <w:rsid w:val="00FA3C0B"/>
    <w:rsid w:val="00FA3F25"/>
    <w:rsid w:val="00FA546C"/>
    <w:rsid w:val="00FA5DC8"/>
    <w:rsid w:val="00FA6A95"/>
    <w:rsid w:val="00FA78C4"/>
    <w:rsid w:val="00FB0368"/>
    <w:rsid w:val="00FB0754"/>
    <w:rsid w:val="00FB0C4B"/>
    <w:rsid w:val="00FB1480"/>
    <w:rsid w:val="00FB1A7F"/>
    <w:rsid w:val="00FB25A7"/>
    <w:rsid w:val="00FB3204"/>
    <w:rsid w:val="00FB3C31"/>
    <w:rsid w:val="00FB3CA8"/>
    <w:rsid w:val="00FB4570"/>
    <w:rsid w:val="00FB4A5E"/>
    <w:rsid w:val="00FB5ABD"/>
    <w:rsid w:val="00FB62FB"/>
    <w:rsid w:val="00FB6435"/>
    <w:rsid w:val="00FB708D"/>
    <w:rsid w:val="00FC1A57"/>
    <w:rsid w:val="00FC25C7"/>
    <w:rsid w:val="00FC38DC"/>
    <w:rsid w:val="00FC3AEC"/>
    <w:rsid w:val="00FC3F36"/>
    <w:rsid w:val="00FC41E9"/>
    <w:rsid w:val="00FC4728"/>
    <w:rsid w:val="00FC4C75"/>
    <w:rsid w:val="00FC510B"/>
    <w:rsid w:val="00FC51B2"/>
    <w:rsid w:val="00FC5499"/>
    <w:rsid w:val="00FC56AB"/>
    <w:rsid w:val="00FC5ECD"/>
    <w:rsid w:val="00FC6258"/>
    <w:rsid w:val="00FC6341"/>
    <w:rsid w:val="00FC6D94"/>
    <w:rsid w:val="00FC7606"/>
    <w:rsid w:val="00FC77B4"/>
    <w:rsid w:val="00FC7F69"/>
    <w:rsid w:val="00FD0CCE"/>
    <w:rsid w:val="00FD26A1"/>
    <w:rsid w:val="00FD26C8"/>
    <w:rsid w:val="00FD29A9"/>
    <w:rsid w:val="00FD3256"/>
    <w:rsid w:val="00FD36CE"/>
    <w:rsid w:val="00FD40B5"/>
    <w:rsid w:val="00FD4377"/>
    <w:rsid w:val="00FD4654"/>
    <w:rsid w:val="00FD5076"/>
    <w:rsid w:val="00FD5BD4"/>
    <w:rsid w:val="00FD65DD"/>
    <w:rsid w:val="00FD6C38"/>
    <w:rsid w:val="00FD7BB7"/>
    <w:rsid w:val="00FD7F46"/>
    <w:rsid w:val="00FE0B5C"/>
    <w:rsid w:val="00FE10D8"/>
    <w:rsid w:val="00FE131C"/>
    <w:rsid w:val="00FE22FF"/>
    <w:rsid w:val="00FE275C"/>
    <w:rsid w:val="00FE2AB4"/>
    <w:rsid w:val="00FE47AA"/>
    <w:rsid w:val="00FE4BA6"/>
    <w:rsid w:val="00FE50AD"/>
    <w:rsid w:val="00FE64CA"/>
    <w:rsid w:val="00FE6687"/>
    <w:rsid w:val="00FE6D03"/>
    <w:rsid w:val="00FF1685"/>
    <w:rsid w:val="00FF1A04"/>
    <w:rsid w:val="00FF1FA5"/>
    <w:rsid w:val="00FF305A"/>
    <w:rsid w:val="00FF4D5C"/>
    <w:rsid w:val="00FF4D67"/>
    <w:rsid w:val="00FF50A4"/>
    <w:rsid w:val="00FF52C8"/>
    <w:rsid w:val="00FF534A"/>
    <w:rsid w:val="00FF5726"/>
    <w:rsid w:val="00FF5B88"/>
    <w:rsid w:val="00FF64E6"/>
    <w:rsid w:val="00FF78EE"/>
    <w:rsid w:val="01254091"/>
    <w:rsid w:val="0185498B"/>
    <w:rsid w:val="018C43EE"/>
    <w:rsid w:val="01C0125F"/>
    <w:rsid w:val="01CF6084"/>
    <w:rsid w:val="0206511A"/>
    <w:rsid w:val="020D64BC"/>
    <w:rsid w:val="02BC6EA1"/>
    <w:rsid w:val="02CB7221"/>
    <w:rsid w:val="04831D5B"/>
    <w:rsid w:val="04AE2C39"/>
    <w:rsid w:val="04FF3D82"/>
    <w:rsid w:val="05132719"/>
    <w:rsid w:val="05910CAE"/>
    <w:rsid w:val="05AE2230"/>
    <w:rsid w:val="05F469CE"/>
    <w:rsid w:val="05F851DA"/>
    <w:rsid w:val="062C21B1"/>
    <w:rsid w:val="062E46C8"/>
    <w:rsid w:val="0636723D"/>
    <w:rsid w:val="068063B8"/>
    <w:rsid w:val="071B23C9"/>
    <w:rsid w:val="078E17A5"/>
    <w:rsid w:val="07913C76"/>
    <w:rsid w:val="07CD4C6A"/>
    <w:rsid w:val="07F1335A"/>
    <w:rsid w:val="0859539A"/>
    <w:rsid w:val="085A6FDD"/>
    <w:rsid w:val="08926395"/>
    <w:rsid w:val="08C330EF"/>
    <w:rsid w:val="08FF21B2"/>
    <w:rsid w:val="09124429"/>
    <w:rsid w:val="09995B6F"/>
    <w:rsid w:val="09B00BC5"/>
    <w:rsid w:val="09BB4231"/>
    <w:rsid w:val="0A105A3D"/>
    <w:rsid w:val="0A1F2EBD"/>
    <w:rsid w:val="0A5C798D"/>
    <w:rsid w:val="0AD25A10"/>
    <w:rsid w:val="0B0C1D2F"/>
    <w:rsid w:val="0B1236E2"/>
    <w:rsid w:val="0B14133A"/>
    <w:rsid w:val="0BD30CBE"/>
    <w:rsid w:val="0BF55249"/>
    <w:rsid w:val="0C2B2858"/>
    <w:rsid w:val="0C3622A0"/>
    <w:rsid w:val="0D811433"/>
    <w:rsid w:val="0DEA7295"/>
    <w:rsid w:val="0DEC303D"/>
    <w:rsid w:val="0E1E4493"/>
    <w:rsid w:val="0E3E2AEB"/>
    <w:rsid w:val="0E6C147F"/>
    <w:rsid w:val="0EA82670"/>
    <w:rsid w:val="0F8B362E"/>
    <w:rsid w:val="0FBD261D"/>
    <w:rsid w:val="10026265"/>
    <w:rsid w:val="10520DDB"/>
    <w:rsid w:val="10845E5C"/>
    <w:rsid w:val="118A7D03"/>
    <w:rsid w:val="11A07BF5"/>
    <w:rsid w:val="11F464E2"/>
    <w:rsid w:val="11F93B8B"/>
    <w:rsid w:val="129A11DD"/>
    <w:rsid w:val="12A63CA4"/>
    <w:rsid w:val="12BD7B3D"/>
    <w:rsid w:val="12C718C0"/>
    <w:rsid w:val="14D8406C"/>
    <w:rsid w:val="14F6274F"/>
    <w:rsid w:val="15657C84"/>
    <w:rsid w:val="15793835"/>
    <w:rsid w:val="15942C5F"/>
    <w:rsid w:val="15E924FB"/>
    <w:rsid w:val="15EC2DBE"/>
    <w:rsid w:val="16213F5B"/>
    <w:rsid w:val="165E17F6"/>
    <w:rsid w:val="16972CA0"/>
    <w:rsid w:val="16DF2435"/>
    <w:rsid w:val="17026ACC"/>
    <w:rsid w:val="17276ABA"/>
    <w:rsid w:val="17342A44"/>
    <w:rsid w:val="17565D57"/>
    <w:rsid w:val="1782289D"/>
    <w:rsid w:val="17BA5A1E"/>
    <w:rsid w:val="18083B34"/>
    <w:rsid w:val="183945CA"/>
    <w:rsid w:val="18481362"/>
    <w:rsid w:val="1950717D"/>
    <w:rsid w:val="195B59A7"/>
    <w:rsid w:val="197C2DAE"/>
    <w:rsid w:val="19DA7A12"/>
    <w:rsid w:val="1A1F0F68"/>
    <w:rsid w:val="1A642AE4"/>
    <w:rsid w:val="1AA84401"/>
    <w:rsid w:val="1AAE6504"/>
    <w:rsid w:val="1AB17172"/>
    <w:rsid w:val="1AC7504B"/>
    <w:rsid w:val="1AFA1487"/>
    <w:rsid w:val="1B1F0B0A"/>
    <w:rsid w:val="1B7B33A3"/>
    <w:rsid w:val="1BBA678A"/>
    <w:rsid w:val="1BC510C6"/>
    <w:rsid w:val="1BE608D3"/>
    <w:rsid w:val="1BEC42E0"/>
    <w:rsid w:val="1C4C3AFB"/>
    <w:rsid w:val="1CB64615"/>
    <w:rsid w:val="1CEF1554"/>
    <w:rsid w:val="1CF928C9"/>
    <w:rsid w:val="1D187DFF"/>
    <w:rsid w:val="1D6D02B3"/>
    <w:rsid w:val="1D882BB7"/>
    <w:rsid w:val="1DBB60A1"/>
    <w:rsid w:val="1EE45B0F"/>
    <w:rsid w:val="1F2B3C20"/>
    <w:rsid w:val="1F9C57B6"/>
    <w:rsid w:val="1FA75A7B"/>
    <w:rsid w:val="204F451E"/>
    <w:rsid w:val="207135BC"/>
    <w:rsid w:val="21BE7B62"/>
    <w:rsid w:val="21D94A96"/>
    <w:rsid w:val="22315125"/>
    <w:rsid w:val="226A1E07"/>
    <w:rsid w:val="2296337D"/>
    <w:rsid w:val="22E16FC2"/>
    <w:rsid w:val="22EB038F"/>
    <w:rsid w:val="235C138F"/>
    <w:rsid w:val="23ED446C"/>
    <w:rsid w:val="242A5B41"/>
    <w:rsid w:val="24F00C85"/>
    <w:rsid w:val="25722C05"/>
    <w:rsid w:val="262B31A3"/>
    <w:rsid w:val="2633338E"/>
    <w:rsid w:val="263D4469"/>
    <w:rsid w:val="267A6081"/>
    <w:rsid w:val="26BD3BA3"/>
    <w:rsid w:val="26C014AB"/>
    <w:rsid w:val="26FD44F5"/>
    <w:rsid w:val="27642D0E"/>
    <w:rsid w:val="27AF3DF4"/>
    <w:rsid w:val="27F512D8"/>
    <w:rsid w:val="28221F4E"/>
    <w:rsid w:val="28AF42DB"/>
    <w:rsid w:val="28E14F1E"/>
    <w:rsid w:val="295264D7"/>
    <w:rsid w:val="2AA05F3D"/>
    <w:rsid w:val="2AC9298C"/>
    <w:rsid w:val="2B3958E6"/>
    <w:rsid w:val="2B401506"/>
    <w:rsid w:val="2BA45A27"/>
    <w:rsid w:val="2BE0377B"/>
    <w:rsid w:val="2C2B4A06"/>
    <w:rsid w:val="2CD36285"/>
    <w:rsid w:val="2D007585"/>
    <w:rsid w:val="2D39287C"/>
    <w:rsid w:val="2D652726"/>
    <w:rsid w:val="2D86218B"/>
    <w:rsid w:val="2DD724C3"/>
    <w:rsid w:val="2E0748F1"/>
    <w:rsid w:val="2E151FA8"/>
    <w:rsid w:val="2E1642EA"/>
    <w:rsid w:val="2E4637CE"/>
    <w:rsid w:val="2E6C5661"/>
    <w:rsid w:val="2E80072A"/>
    <w:rsid w:val="2E941184"/>
    <w:rsid w:val="2ED15EF7"/>
    <w:rsid w:val="2ED334E6"/>
    <w:rsid w:val="2F3B1D8A"/>
    <w:rsid w:val="304A396F"/>
    <w:rsid w:val="307E6F1F"/>
    <w:rsid w:val="309A457F"/>
    <w:rsid w:val="30AA3B76"/>
    <w:rsid w:val="30EC3CCF"/>
    <w:rsid w:val="310D09A8"/>
    <w:rsid w:val="320A1F29"/>
    <w:rsid w:val="320F3D77"/>
    <w:rsid w:val="32354F6B"/>
    <w:rsid w:val="326E63CA"/>
    <w:rsid w:val="327E302D"/>
    <w:rsid w:val="32D90693"/>
    <w:rsid w:val="334C5DB8"/>
    <w:rsid w:val="33A81259"/>
    <w:rsid w:val="33B679E6"/>
    <w:rsid w:val="344C6FFE"/>
    <w:rsid w:val="346B3223"/>
    <w:rsid w:val="353F0070"/>
    <w:rsid w:val="35493D5D"/>
    <w:rsid w:val="35511985"/>
    <w:rsid w:val="359F045A"/>
    <w:rsid w:val="35E37A8E"/>
    <w:rsid w:val="361F4185"/>
    <w:rsid w:val="36647534"/>
    <w:rsid w:val="367B0D63"/>
    <w:rsid w:val="372F6698"/>
    <w:rsid w:val="373D209E"/>
    <w:rsid w:val="37435610"/>
    <w:rsid w:val="37B4116F"/>
    <w:rsid w:val="380507B7"/>
    <w:rsid w:val="381D2D9D"/>
    <w:rsid w:val="38500506"/>
    <w:rsid w:val="387545E9"/>
    <w:rsid w:val="38F85602"/>
    <w:rsid w:val="393E337F"/>
    <w:rsid w:val="39653D08"/>
    <w:rsid w:val="39DF7AA9"/>
    <w:rsid w:val="39EA6A9C"/>
    <w:rsid w:val="3A1A7725"/>
    <w:rsid w:val="3A1C2863"/>
    <w:rsid w:val="3A1D02E4"/>
    <w:rsid w:val="3A6C50A3"/>
    <w:rsid w:val="3A9B69B4"/>
    <w:rsid w:val="3AD96499"/>
    <w:rsid w:val="3C1771A5"/>
    <w:rsid w:val="3C395836"/>
    <w:rsid w:val="3CD422FB"/>
    <w:rsid w:val="3D2D5705"/>
    <w:rsid w:val="3D4C1F9D"/>
    <w:rsid w:val="3DDE62A5"/>
    <w:rsid w:val="3E563EEB"/>
    <w:rsid w:val="3E9C004A"/>
    <w:rsid w:val="3EA57B67"/>
    <w:rsid w:val="3EB91CF7"/>
    <w:rsid w:val="3EC07104"/>
    <w:rsid w:val="3EEA5F53"/>
    <w:rsid w:val="3EFE7574"/>
    <w:rsid w:val="3F740625"/>
    <w:rsid w:val="3FB60EAB"/>
    <w:rsid w:val="3FCD65C4"/>
    <w:rsid w:val="3FD1113F"/>
    <w:rsid w:val="3FEC0DF0"/>
    <w:rsid w:val="3FEE6A4A"/>
    <w:rsid w:val="40062F20"/>
    <w:rsid w:val="40EE6477"/>
    <w:rsid w:val="411F7EE8"/>
    <w:rsid w:val="41302380"/>
    <w:rsid w:val="41903796"/>
    <w:rsid w:val="420C38A4"/>
    <w:rsid w:val="423D7C15"/>
    <w:rsid w:val="42706590"/>
    <w:rsid w:val="42B80D3B"/>
    <w:rsid w:val="42BD2E0C"/>
    <w:rsid w:val="42CC784F"/>
    <w:rsid w:val="42FA7042"/>
    <w:rsid w:val="42FE3875"/>
    <w:rsid w:val="44112FB7"/>
    <w:rsid w:val="441F6F90"/>
    <w:rsid w:val="446971C0"/>
    <w:rsid w:val="44935C14"/>
    <w:rsid w:val="44BB06D3"/>
    <w:rsid w:val="45752C40"/>
    <w:rsid w:val="45CA0EDA"/>
    <w:rsid w:val="46F87C7E"/>
    <w:rsid w:val="470620B2"/>
    <w:rsid w:val="470F78A3"/>
    <w:rsid w:val="476561E1"/>
    <w:rsid w:val="47E876C0"/>
    <w:rsid w:val="47FF0D98"/>
    <w:rsid w:val="488317E2"/>
    <w:rsid w:val="49431CBB"/>
    <w:rsid w:val="495132D5"/>
    <w:rsid w:val="49935043"/>
    <w:rsid w:val="499C7ED1"/>
    <w:rsid w:val="4A83707C"/>
    <w:rsid w:val="4ACC7849"/>
    <w:rsid w:val="4B254923"/>
    <w:rsid w:val="4B2921CC"/>
    <w:rsid w:val="4BA17322"/>
    <w:rsid w:val="4BF43976"/>
    <w:rsid w:val="4CC007B6"/>
    <w:rsid w:val="4CDB102F"/>
    <w:rsid w:val="4D0E7FCC"/>
    <w:rsid w:val="4D567C6D"/>
    <w:rsid w:val="4E2409D2"/>
    <w:rsid w:val="4E90582C"/>
    <w:rsid w:val="4E931209"/>
    <w:rsid w:val="4E9E7678"/>
    <w:rsid w:val="4ECF3DC4"/>
    <w:rsid w:val="4F0063B6"/>
    <w:rsid w:val="4F19643F"/>
    <w:rsid w:val="4F473CA0"/>
    <w:rsid w:val="4F4C6778"/>
    <w:rsid w:val="4F552FB6"/>
    <w:rsid w:val="4FC655F7"/>
    <w:rsid w:val="4FD96B76"/>
    <w:rsid w:val="50346118"/>
    <w:rsid w:val="504D574C"/>
    <w:rsid w:val="50A974EF"/>
    <w:rsid w:val="50ED0C8B"/>
    <w:rsid w:val="50EE5415"/>
    <w:rsid w:val="51712479"/>
    <w:rsid w:val="517D209F"/>
    <w:rsid w:val="51AE766F"/>
    <w:rsid w:val="51F46D81"/>
    <w:rsid w:val="51F54803"/>
    <w:rsid w:val="522321CB"/>
    <w:rsid w:val="523C65D7"/>
    <w:rsid w:val="528F49B4"/>
    <w:rsid w:val="52D77F82"/>
    <w:rsid w:val="52E11E85"/>
    <w:rsid w:val="535C1178"/>
    <w:rsid w:val="53726DCB"/>
    <w:rsid w:val="53840791"/>
    <w:rsid w:val="53A40CC6"/>
    <w:rsid w:val="53B07E44"/>
    <w:rsid w:val="540F0D22"/>
    <w:rsid w:val="54352A41"/>
    <w:rsid w:val="544E11B4"/>
    <w:rsid w:val="5456436D"/>
    <w:rsid w:val="552C4448"/>
    <w:rsid w:val="561D0456"/>
    <w:rsid w:val="5728768E"/>
    <w:rsid w:val="57347650"/>
    <w:rsid w:val="574A6BD9"/>
    <w:rsid w:val="57D14E4F"/>
    <w:rsid w:val="57E014B4"/>
    <w:rsid w:val="588F262F"/>
    <w:rsid w:val="58E155E5"/>
    <w:rsid w:val="59124D7C"/>
    <w:rsid w:val="593058FE"/>
    <w:rsid w:val="598F1FFB"/>
    <w:rsid w:val="5A006E37"/>
    <w:rsid w:val="5A050D40"/>
    <w:rsid w:val="5AE82CCF"/>
    <w:rsid w:val="5AF9572F"/>
    <w:rsid w:val="5B047CA2"/>
    <w:rsid w:val="5B2B0B23"/>
    <w:rsid w:val="5B4D6AD9"/>
    <w:rsid w:val="5BCD7849"/>
    <w:rsid w:val="5BDF51C2"/>
    <w:rsid w:val="5C494A89"/>
    <w:rsid w:val="5D0F4B7D"/>
    <w:rsid w:val="5D6E1FD6"/>
    <w:rsid w:val="5D7D2849"/>
    <w:rsid w:val="5DB5654B"/>
    <w:rsid w:val="5DEC0BFA"/>
    <w:rsid w:val="5DFE3E44"/>
    <w:rsid w:val="5E5B66DA"/>
    <w:rsid w:val="5E803118"/>
    <w:rsid w:val="5ECD2A0E"/>
    <w:rsid w:val="5EE669BC"/>
    <w:rsid w:val="5F8D7DD2"/>
    <w:rsid w:val="601E6FEE"/>
    <w:rsid w:val="609063BE"/>
    <w:rsid w:val="60C06ECB"/>
    <w:rsid w:val="60D546BE"/>
    <w:rsid w:val="60E51291"/>
    <w:rsid w:val="620E7E2D"/>
    <w:rsid w:val="6229531D"/>
    <w:rsid w:val="622B4B92"/>
    <w:rsid w:val="629254B7"/>
    <w:rsid w:val="62B46FAB"/>
    <w:rsid w:val="632131B2"/>
    <w:rsid w:val="633330CC"/>
    <w:rsid w:val="63F50C0B"/>
    <w:rsid w:val="640F0CE0"/>
    <w:rsid w:val="64324169"/>
    <w:rsid w:val="644A6117"/>
    <w:rsid w:val="646B4847"/>
    <w:rsid w:val="646F2DCD"/>
    <w:rsid w:val="648F33B6"/>
    <w:rsid w:val="6549209E"/>
    <w:rsid w:val="654C3175"/>
    <w:rsid w:val="655143A5"/>
    <w:rsid w:val="66115A83"/>
    <w:rsid w:val="663B41C2"/>
    <w:rsid w:val="6672598B"/>
    <w:rsid w:val="668F6948"/>
    <w:rsid w:val="67251D1F"/>
    <w:rsid w:val="67522D27"/>
    <w:rsid w:val="67D179E7"/>
    <w:rsid w:val="6800113D"/>
    <w:rsid w:val="68981FA9"/>
    <w:rsid w:val="69707E81"/>
    <w:rsid w:val="69717D16"/>
    <w:rsid w:val="6977494A"/>
    <w:rsid w:val="69B302B6"/>
    <w:rsid w:val="69D20E0C"/>
    <w:rsid w:val="6AB14A13"/>
    <w:rsid w:val="6AC26452"/>
    <w:rsid w:val="6B1D05CE"/>
    <w:rsid w:val="6B67182F"/>
    <w:rsid w:val="6C136275"/>
    <w:rsid w:val="6C423CA9"/>
    <w:rsid w:val="6C4711DD"/>
    <w:rsid w:val="6C672765"/>
    <w:rsid w:val="6C7B5591"/>
    <w:rsid w:val="6C88110D"/>
    <w:rsid w:val="6D5822A4"/>
    <w:rsid w:val="6D7E615E"/>
    <w:rsid w:val="6DE77BAD"/>
    <w:rsid w:val="6E031A8F"/>
    <w:rsid w:val="6EC0267B"/>
    <w:rsid w:val="6EE06C29"/>
    <w:rsid w:val="6F3E389A"/>
    <w:rsid w:val="704C2FED"/>
    <w:rsid w:val="70A41C8E"/>
    <w:rsid w:val="70BB3834"/>
    <w:rsid w:val="712212A8"/>
    <w:rsid w:val="714871AF"/>
    <w:rsid w:val="71B62463"/>
    <w:rsid w:val="71E5266B"/>
    <w:rsid w:val="72131C84"/>
    <w:rsid w:val="73544AFD"/>
    <w:rsid w:val="73D820EB"/>
    <w:rsid w:val="74477360"/>
    <w:rsid w:val="744B2077"/>
    <w:rsid w:val="746A3B80"/>
    <w:rsid w:val="74FD4DFC"/>
    <w:rsid w:val="757E7B32"/>
    <w:rsid w:val="75845FDA"/>
    <w:rsid w:val="75BD16F8"/>
    <w:rsid w:val="76024E58"/>
    <w:rsid w:val="7615332E"/>
    <w:rsid w:val="76C40635"/>
    <w:rsid w:val="76C56B04"/>
    <w:rsid w:val="77564E6B"/>
    <w:rsid w:val="77636C50"/>
    <w:rsid w:val="779B2852"/>
    <w:rsid w:val="78080033"/>
    <w:rsid w:val="782048DE"/>
    <w:rsid w:val="782D04B7"/>
    <w:rsid w:val="7832142F"/>
    <w:rsid w:val="78491CBE"/>
    <w:rsid w:val="784A4383"/>
    <w:rsid w:val="78DE46C4"/>
    <w:rsid w:val="79152CCB"/>
    <w:rsid w:val="79196E3A"/>
    <w:rsid w:val="79202048"/>
    <w:rsid w:val="797C07D6"/>
    <w:rsid w:val="799962E5"/>
    <w:rsid w:val="7A381810"/>
    <w:rsid w:val="7AA159BD"/>
    <w:rsid w:val="7AB855E2"/>
    <w:rsid w:val="7ABE2D6E"/>
    <w:rsid w:val="7ADF6A04"/>
    <w:rsid w:val="7C941FFE"/>
    <w:rsid w:val="7CD8690D"/>
    <w:rsid w:val="7D29080A"/>
    <w:rsid w:val="7D573AF0"/>
    <w:rsid w:val="7DCC49CB"/>
    <w:rsid w:val="7DDD780C"/>
    <w:rsid w:val="7E051AE1"/>
    <w:rsid w:val="7F74146A"/>
    <w:rsid w:val="7FAB1CCE"/>
    <w:rsid w:val="7FCA46B5"/>
    <w:rsid w:val="7FFC5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color w:val="000000"/>
      <w:kern w:val="2"/>
      <w:sz w:val="21"/>
      <w:szCs w:val="24"/>
      <w:lang w:val="en-US" w:eastAsia="zh-CN" w:bidi="ar-SA"/>
    </w:rPr>
  </w:style>
  <w:style w:type="paragraph" w:styleId="4">
    <w:name w:val="heading 1"/>
    <w:basedOn w:val="1"/>
    <w:next w:val="1"/>
    <w:link w:val="52"/>
    <w:qFormat/>
    <w:uiPriority w:val="0"/>
    <w:pPr>
      <w:keepNext/>
      <w:keepLines/>
      <w:spacing w:before="340" w:after="330" w:line="578" w:lineRule="auto"/>
      <w:outlineLvl w:val="0"/>
    </w:pPr>
    <w:rPr>
      <w:b/>
      <w:bCs/>
      <w:color w:val="auto"/>
      <w:kern w:val="44"/>
      <w:sz w:val="44"/>
      <w:szCs w:val="44"/>
    </w:rPr>
  </w:style>
  <w:style w:type="paragraph" w:styleId="5">
    <w:name w:val="heading 2"/>
    <w:basedOn w:val="1"/>
    <w:next w:val="1"/>
    <w:link w:val="56"/>
    <w:qFormat/>
    <w:uiPriority w:val="0"/>
    <w:pPr>
      <w:keepNext/>
      <w:keepLines/>
      <w:spacing w:beforeLines="150" w:afterLines="50" w:line="360" w:lineRule="auto"/>
      <w:ind w:left="-482" w:firstLine="482"/>
      <w:contextualSpacing/>
      <w:outlineLvl w:val="1"/>
    </w:pPr>
    <w:rPr>
      <w:b/>
      <w:bCs/>
      <w:color w:val="auto"/>
      <w:kern w:val="0"/>
      <w:sz w:val="28"/>
      <w:szCs w:val="28"/>
    </w:rPr>
  </w:style>
  <w:style w:type="paragraph" w:styleId="6">
    <w:name w:val="heading 3"/>
    <w:basedOn w:val="1"/>
    <w:next w:val="1"/>
    <w:link w:val="57"/>
    <w:qFormat/>
    <w:uiPriority w:val="0"/>
    <w:pPr>
      <w:keepNext/>
      <w:keepLines/>
      <w:spacing w:beforeLines="50" w:afterLines="30" w:line="360" w:lineRule="auto"/>
      <w:ind w:left="660" w:firstLine="420"/>
      <w:contextualSpacing/>
      <w:outlineLvl w:val="2"/>
    </w:pPr>
    <w:rPr>
      <w:b/>
      <w:bCs/>
      <w:color w:val="auto"/>
      <w:sz w:val="24"/>
    </w:rPr>
  </w:style>
  <w:style w:type="paragraph" w:styleId="7">
    <w:name w:val="heading 4"/>
    <w:basedOn w:val="1"/>
    <w:next w:val="1"/>
    <w:link w:val="58"/>
    <w:qFormat/>
    <w:uiPriority w:val="0"/>
    <w:pPr>
      <w:spacing w:beforeLines="30" w:afterLines="20" w:line="360" w:lineRule="auto"/>
      <w:ind w:left="369" w:firstLine="482"/>
      <w:contextualSpacing/>
      <w:outlineLvl w:val="3"/>
    </w:pPr>
    <w:rPr>
      <w:b/>
      <w:bCs/>
      <w:color w:val="auto"/>
      <w:sz w:val="24"/>
    </w:rPr>
  </w:style>
  <w:style w:type="paragraph" w:styleId="8">
    <w:name w:val="heading 5"/>
    <w:basedOn w:val="1"/>
    <w:next w:val="1"/>
    <w:link w:val="82"/>
    <w:semiHidden/>
    <w:unhideWhenUsed/>
    <w:qFormat/>
    <w:uiPriority w:val="0"/>
    <w:pPr>
      <w:keepNext/>
      <w:keepLines/>
      <w:spacing w:before="280" w:after="290" w:line="372" w:lineRule="auto"/>
      <w:outlineLvl w:val="4"/>
    </w:pPr>
    <w:rPr>
      <w:b/>
      <w:sz w:val="28"/>
    </w:rPr>
  </w:style>
  <w:style w:type="paragraph" w:styleId="9">
    <w:name w:val="heading 6"/>
    <w:basedOn w:val="1"/>
    <w:next w:val="1"/>
    <w:link w:val="91"/>
    <w:semiHidden/>
    <w:unhideWhenUsed/>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1"/>
    <w:link w:val="92"/>
    <w:semiHidden/>
    <w:unhideWhenUsed/>
    <w:qFormat/>
    <w:uiPriority w:val="0"/>
    <w:pPr>
      <w:keepNext/>
      <w:keepLines/>
      <w:spacing w:before="240" w:after="64" w:line="317" w:lineRule="auto"/>
      <w:outlineLvl w:val="6"/>
    </w:pPr>
    <w:rPr>
      <w:b/>
      <w:sz w:val="24"/>
    </w:rPr>
  </w:style>
  <w:style w:type="paragraph" w:styleId="11">
    <w:name w:val="heading 8"/>
    <w:basedOn w:val="1"/>
    <w:next w:val="1"/>
    <w:link w:val="79"/>
    <w:semiHidden/>
    <w:unhideWhenUsed/>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1"/>
    <w:link w:val="93"/>
    <w:semiHidden/>
    <w:unhideWhenUsed/>
    <w:qFormat/>
    <w:uiPriority w:val="0"/>
    <w:pPr>
      <w:keepNext/>
      <w:keepLines/>
      <w:spacing w:before="240" w:after="64" w:line="317"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23"/>
    <w:unhideWhenUsed/>
    <w:qFormat/>
    <w:uiPriority w:val="0"/>
    <w:pPr>
      <w:ind w:firstLine="420" w:firstLineChars="200"/>
    </w:pPr>
  </w:style>
  <w:style w:type="paragraph" w:styleId="3">
    <w:name w:val="Body Text Indent"/>
    <w:basedOn w:val="1"/>
    <w:link w:val="76"/>
    <w:unhideWhenUsed/>
    <w:qFormat/>
    <w:uiPriority w:val="0"/>
    <w:pPr>
      <w:spacing w:after="120"/>
      <w:ind w:left="420" w:leftChars="200"/>
    </w:pPr>
    <w:rPr>
      <w:rFonts w:ascii="Times New Roman" w:hAnsi="Times New Roman" w:eastAsia="宋体"/>
      <w:kern w:val="0"/>
      <w:sz w:val="20"/>
    </w:rPr>
  </w:style>
  <w:style w:type="paragraph" w:styleId="13">
    <w:name w:val="toc 7"/>
    <w:basedOn w:val="1"/>
    <w:next w:val="1"/>
    <w:unhideWhenUsed/>
    <w:qFormat/>
    <w:uiPriority w:val="39"/>
    <w:pPr>
      <w:ind w:left="2520" w:leftChars="1200"/>
    </w:pPr>
    <w:rPr>
      <w:rFonts w:asciiTheme="minorHAnsi" w:hAnsiTheme="minorHAnsi" w:eastAsiaTheme="minorEastAsia" w:cstheme="minorBidi"/>
      <w:color w:val="auto"/>
      <w:szCs w:val="22"/>
    </w:rPr>
  </w:style>
  <w:style w:type="paragraph" w:styleId="14">
    <w:name w:val="Document Map"/>
    <w:basedOn w:val="1"/>
    <w:link w:val="98"/>
    <w:semiHidden/>
    <w:unhideWhenUsed/>
    <w:qFormat/>
    <w:uiPriority w:val="0"/>
    <w:pPr>
      <w:shd w:val="clear" w:color="auto" w:fill="000080"/>
    </w:pPr>
  </w:style>
  <w:style w:type="paragraph" w:styleId="15">
    <w:name w:val="annotation text"/>
    <w:basedOn w:val="1"/>
    <w:link w:val="94"/>
    <w:unhideWhenUsed/>
    <w:qFormat/>
    <w:uiPriority w:val="0"/>
    <w:pPr>
      <w:jc w:val="left"/>
    </w:pPr>
  </w:style>
  <w:style w:type="paragraph" w:styleId="16">
    <w:name w:val="Body Text 3"/>
    <w:basedOn w:val="1"/>
    <w:link w:val="89"/>
    <w:semiHidden/>
    <w:unhideWhenUsed/>
    <w:qFormat/>
    <w:uiPriority w:val="0"/>
    <w:pPr>
      <w:spacing w:after="120"/>
    </w:pPr>
    <w:rPr>
      <w:sz w:val="16"/>
    </w:rPr>
  </w:style>
  <w:style w:type="paragraph" w:styleId="17">
    <w:name w:val="Body Text"/>
    <w:basedOn w:val="1"/>
    <w:link w:val="96"/>
    <w:unhideWhenUsed/>
    <w:qFormat/>
    <w:uiPriority w:val="0"/>
    <w:pPr>
      <w:spacing w:after="120"/>
    </w:pPr>
  </w:style>
  <w:style w:type="paragraph" w:styleId="18">
    <w:name w:val="toc 5"/>
    <w:basedOn w:val="1"/>
    <w:next w:val="1"/>
    <w:unhideWhenUsed/>
    <w:qFormat/>
    <w:uiPriority w:val="39"/>
    <w:pPr>
      <w:ind w:left="1680" w:leftChars="800"/>
    </w:pPr>
    <w:rPr>
      <w:rFonts w:asciiTheme="minorHAnsi" w:hAnsiTheme="minorHAnsi" w:eastAsiaTheme="minorEastAsia" w:cstheme="minorBidi"/>
      <w:color w:val="auto"/>
      <w:szCs w:val="22"/>
    </w:rPr>
  </w:style>
  <w:style w:type="paragraph" w:styleId="19">
    <w:name w:val="toc 3"/>
    <w:basedOn w:val="1"/>
    <w:next w:val="1"/>
    <w:unhideWhenUsed/>
    <w:qFormat/>
    <w:uiPriority w:val="39"/>
    <w:pPr>
      <w:ind w:left="840" w:leftChars="400"/>
    </w:pPr>
  </w:style>
  <w:style w:type="paragraph" w:styleId="20">
    <w:name w:val="Plain Text"/>
    <w:basedOn w:val="1"/>
    <w:link w:val="51"/>
    <w:qFormat/>
    <w:uiPriority w:val="0"/>
    <w:rPr>
      <w:rFonts w:ascii="宋体" w:hAnsi="Courier New"/>
      <w:color w:val="auto"/>
      <w:szCs w:val="20"/>
    </w:rPr>
  </w:style>
  <w:style w:type="paragraph" w:styleId="21">
    <w:name w:val="toc 8"/>
    <w:basedOn w:val="1"/>
    <w:next w:val="1"/>
    <w:unhideWhenUsed/>
    <w:qFormat/>
    <w:uiPriority w:val="39"/>
    <w:pPr>
      <w:ind w:left="2940" w:leftChars="1400"/>
    </w:pPr>
    <w:rPr>
      <w:rFonts w:asciiTheme="minorHAnsi" w:hAnsiTheme="minorHAnsi" w:eastAsiaTheme="minorEastAsia" w:cstheme="minorBidi"/>
      <w:color w:val="auto"/>
      <w:szCs w:val="22"/>
    </w:rPr>
  </w:style>
  <w:style w:type="paragraph" w:styleId="22">
    <w:name w:val="Date"/>
    <w:basedOn w:val="1"/>
    <w:next w:val="1"/>
    <w:link w:val="53"/>
    <w:qFormat/>
    <w:uiPriority w:val="0"/>
    <w:pPr>
      <w:ind w:left="100" w:leftChars="2500"/>
    </w:pPr>
    <w:rPr>
      <w:color w:val="auto"/>
    </w:rPr>
  </w:style>
  <w:style w:type="paragraph" w:styleId="23">
    <w:name w:val="Body Text Indent 2"/>
    <w:basedOn w:val="1"/>
    <w:link w:val="75"/>
    <w:semiHidden/>
    <w:unhideWhenUsed/>
    <w:qFormat/>
    <w:uiPriority w:val="0"/>
    <w:pPr>
      <w:spacing w:after="120" w:line="480" w:lineRule="auto"/>
      <w:ind w:left="420" w:leftChars="200"/>
    </w:pPr>
  </w:style>
  <w:style w:type="paragraph" w:styleId="24">
    <w:name w:val="Balloon Text"/>
    <w:basedOn w:val="1"/>
    <w:link w:val="99"/>
    <w:semiHidden/>
    <w:qFormat/>
    <w:uiPriority w:val="0"/>
    <w:rPr>
      <w:sz w:val="18"/>
      <w:szCs w:val="18"/>
    </w:rPr>
  </w:style>
  <w:style w:type="paragraph" w:styleId="25">
    <w:name w:val="footer"/>
    <w:basedOn w:val="1"/>
    <w:link w:val="63"/>
    <w:qFormat/>
    <w:uiPriority w:val="99"/>
    <w:pPr>
      <w:tabs>
        <w:tab w:val="center" w:pos="4153"/>
        <w:tab w:val="right" w:pos="8306"/>
      </w:tabs>
      <w:snapToGrid w:val="0"/>
      <w:jc w:val="left"/>
    </w:pPr>
    <w:rPr>
      <w:color w:val="auto"/>
      <w:sz w:val="18"/>
      <w:szCs w:val="18"/>
    </w:rPr>
  </w:style>
  <w:style w:type="paragraph" w:styleId="26">
    <w:name w:val="header"/>
    <w:basedOn w:val="1"/>
    <w:link w:val="49"/>
    <w:qFormat/>
    <w:uiPriority w:val="0"/>
    <w:pPr>
      <w:pBdr>
        <w:bottom w:val="single" w:color="auto" w:sz="6" w:space="1"/>
      </w:pBdr>
      <w:tabs>
        <w:tab w:val="center" w:pos="4153"/>
        <w:tab w:val="right" w:pos="8306"/>
      </w:tabs>
      <w:snapToGrid w:val="0"/>
      <w:jc w:val="center"/>
    </w:pPr>
    <w:rPr>
      <w:color w:val="auto"/>
      <w:sz w:val="18"/>
      <w:szCs w:val="18"/>
    </w:rPr>
  </w:style>
  <w:style w:type="paragraph" w:styleId="27">
    <w:name w:val="toc 1"/>
    <w:basedOn w:val="1"/>
    <w:next w:val="1"/>
    <w:unhideWhenUsed/>
    <w:qFormat/>
    <w:uiPriority w:val="39"/>
  </w:style>
  <w:style w:type="paragraph" w:styleId="28">
    <w:name w:val="toc 4"/>
    <w:basedOn w:val="1"/>
    <w:next w:val="1"/>
    <w:unhideWhenUsed/>
    <w:qFormat/>
    <w:uiPriority w:val="39"/>
    <w:pPr>
      <w:ind w:left="1260" w:leftChars="600"/>
    </w:pPr>
    <w:rPr>
      <w:rFonts w:asciiTheme="minorHAnsi" w:hAnsiTheme="minorHAnsi" w:eastAsiaTheme="minorEastAsia" w:cstheme="minorBidi"/>
      <w:color w:val="auto"/>
      <w:szCs w:val="22"/>
    </w:rPr>
  </w:style>
  <w:style w:type="paragraph" w:styleId="29">
    <w:name w:val="Subtitle"/>
    <w:basedOn w:val="1"/>
    <w:link w:val="100"/>
    <w:qFormat/>
    <w:uiPriority w:val="0"/>
    <w:pPr>
      <w:spacing w:before="240" w:after="60" w:line="312" w:lineRule="auto"/>
      <w:jc w:val="center"/>
      <w:outlineLvl w:val="1"/>
    </w:pPr>
    <w:rPr>
      <w:rFonts w:ascii="Arial" w:hAnsi="Arial"/>
      <w:b/>
      <w:kern w:val="28"/>
      <w:sz w:val="32"/>
    </w:rPr>
  </w:style>
  <w:style w:type="paragraph" w:styleId="30">
    <w:name w:val="footnote text"/>
    <w:basedOn w:val="1"/>
    <w:link w:val="101"/>
    <w:semiHidden/>
    <w:unhideWhenUsed/>
    <w:qFormat/>
    <w:uiPriority w:val="0"/>
    <w:pPr>
      <w:snapToGrid w:val="0"/>
      <w:jc w:val="left"/>
    </w:pPr>
    <w:rPr>
      <w:sz w:val="18"/>
    </w:rPr>
  </w:style>
  <w:style w:type="paragraph" w:styleId="31">
    <w:name w:val="toc 6"/>
    <w:basedOn w:val="1"/>
    <w:next w:val="1"/>
    <w:unhideWhenUsed/>
    <w:qFormat/>
    <w:uiPriority w:val="39"/>
    <w:pPr>
      <w:ind w:left="2100" w:leftChars="1000"/>
    </w:pPr>
    <w:rPr>
      <w:rFonts w:asciiTheme="minorHAnsi" w:hAnsiTheme="minorHAnsi" w:eastAsiaTheme="minorEastAsia" w:cstheme="minorBidi"/>
      <w:color w:val="auto"/>
      <w:szCs w:val="22"/>
    </w:rPr>
  </w:style>
  <w:style w:type="paragraph" w:styleId="32">
    <w:name w:val="Body Text Indent 3"/>
    <w:basedOn w:val="1"/>
    <w:link w:val="80"/>
    <w:qFormat/>
    <w:uiPriority w:val="0"/>
    <w:pPr>
      <w:spacing w:after="120"/>
      <w:ind w:left="420" w:leftChars="200"/>
    </w:pPr>
    <w:rPr>
      <w:sz w:val="16"/>
      <w:szCs w:val="16"/>
    </w:rPr>
  </w:style>
  <w:style w:type="paragraph" w:styleId="33">
    <w:name w:val="toc 2"/>
    <w:basedOn w:val="1"/>
    <w:next w:val="1"/>
    <w:unhideWhenUsed/>
    <w:qFormat/>
    <w:uiPriority w:val="39"/>
    <w:pPr>
      <w:ind w:left="420" w:leftChars="200"/>
    </w:pPr>
    <w:rPr>
      <w:rFonts w:cstheme="minorBidi"/>
      <w:color w:val="auto"/>
      <w:szCs w:val="22"/>
    </w:rPr>
  </w:style>
  <w:style w:type="paragraph" w:styleId="34">
    <w:name w:val="toc 9"/>
    <w:basedOn w:val="1"/>
    <w:next w:val="1"/>
    <w:unhideWhenUsed/>
    <w:qFormat/>
    <w:uiPriority w:val="39"/>
    <w:pPr>
      <w:ind w:left="3360" w:leftChars="1600"/>
    </w:pPr>
    <w:rPr>
      <w:rFonts w:asciiTheme="minorHAnsi" w:hAnsiTheme="minorHAnsi" w:eastAsiaTheme="minorEastAsia" w:cstheme="minorBidi"/>
      <w:color w:val="auto"/>
      <w:szCs w:val="22"/>
    </w:rPr>
  </w:style>
  <w:style w:type="paragraph" w:styleId="35">
    <w:name w:val="Body Text 2"/>
    <w:basedOn w:val="1"/>
    <w:link w:val="102"/>
    <w:semiHidden/>
    <w:unhideWhenUsed/>
    <w:qFormat/>
    <w:uiPriority w:val="0"/>
    <w:pPr>
      <w:spacing w:after="120" w:line="480" w:lineRule="auto"/>
    </w:p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7">
    <w:name w:val="Title"/>
    <w:basedOn w:val="1"/>
    <w:link w:val="84"/>
    <w:qFormat/>
    <w:uiPriority w:val="0"/>
    <w:pPr>
      <w:spacing w:before="240" w:after="60"/>
      <w:jc w:val="center"/>
      <w:outlineLvl w:val="0"/>
    </w:pPr>
    <w:rPr>
      <w:rFonts w:ascii="Arial" w:hAnsi="Arial"/>
      <w:b/>
      <w:sz w:val="32"/>
    </w:rPr>
  </w:style>
  <w:style w:type="paragraph" w:styleId="38">
    <w:name w:val="annotation subject"/>
    <w:basedOn w:val="15"/>
    <w:next w:val="15"/>
    <w:link w:val="95"/>
    <w:semiHidden/>
    <w:unhideWhenUsed/>
    <w:qFormat/>
    <w:uiPriority w:val="0"/>
    <w:rPr>
      <w:b/>
    </w:rPr>
  </w:style>
  <w:style w:type="paragraph" w:styleId="39">
    <w:name w:val="Body Text First Indent"/>
    <w:basedOn w:val="17"/>
    <w:link w:val="97"/>
    <w:qFormat/>
    <w:uiPriority w:val="0"/>
    <w:pPr>
      <w:ind w:firstLine="420" w:firstLineChars="100"/>
    </w:pPr>
  </w:style>
  <w:style w:type="table" w:styleId="41">
    <w:name w:val="Table Grid"/>
    <w:basedOn w:val="40"/>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qFormat/>
    <w:uiPriority w:val="22"/>
    <w:rPr>
      <w:b/>
      <w:bCs/>
    </w:rPr>
  </w:style>
  <w:style w:type="character" w:styleId="44">
    <w:name w:val="page number"/>
    <w:basedOn w:val="42"/>
    <w:qFormat/>
    <w:uiPriority w:val="0"/>
  </w:style>
  <w:style w:type="character" w:styleId="45">
    <w:name w:val="FollowedHyperlink"/>
    <w:basedOn w:val="42"/>
    <w:semiHidden/>
    <w:unhideWhenUsed/>
    <w:qFormat/>
    <w:uiPriority w:val="0"/>
    <w:rPr>
      <w:color w:val="800080"/>
      <w:u w:val="single"/>
    </w:rPr>
  </w:style>
  <w:style w:type="character" w:styleId="46">
    <w:name w:val="Emphasis"/>
    <w:basedOn w:val="42"/>
    <w:qFormat/>
    <w:uiPriority w:val="0"/>
    <w:rPr>
      <w:rFonts w:hint="default" w:ascii="Calibri" w:hAnsi="Calibri" w:cs="Calibri"/>
      <w:b/>
      <w:i/>
    </w:rPr>
  </w:style>
  <w:style w:type="character" w:styleId="47">
    <w:name w:val="Hyperlink"/>
    <w:qFormat/>
    <w:uiPriority w:val="99"/>
    <w:rPr>
      <w:color w:val="000000"/>
      <w:u w:val="none"/>
    </w:rPr>
  </w:style>
  <w:style w:type="character" w:styleId="48">
    <w:name w:val="annotation reference"/>
    <w:basedOn w:val="42"/>
    <w:semiHidden/>
    <w:unhideWhenUsed/>
    <w:qFormat/>
    <w:uiPriority w:val="0"/>
    <w:rPr>
      <w:sz w:val="21"/>
      <w:szCs w:val="21"/>
    </w:rPr>
  </w:style>
  <w:style w:type="character" w:customStyle="1" w:styleId="49">
    <w:name w:val="页眉 Char"/>
    <w:link w:val="26"/>
    <w:qFormat/>
    <w:uiPriority w:val="0"/>
    <w:rPr>
      <w:kern w:val="2"/>
      <w:sz w:val="18"/>
      <w:szCs w:val="18"/>
    </w:rPr>
  </w:style>
  <w:style w:type="paragraph" w:styleId="50">
    <w:name w:val="List Paragraph"/>
    <w:basedOn w:val="1"/>
    <w:qFormat/>
    <w:uiPriority w:val="34"/>
    <w:pPr>
      <w:ind w:firstLine="420" w:firstLineChars="200"/>
    </w:pPr>
  </w:style>
  <w:style w:type="character" w:customStyle="1" w:styleId="51">
    <w:name w:val="纯文本 Char"/>
    <w:link w:val="20"/>
    <w:qFormat/>
    <w:uiPriority w:val="0"/>
    <w:rPr>
      <w:rFonts w:ascii="宋体" w:hAnsi="Courier New"/>
      <w:kern w:val="2"/>
      <w:sz w:val="21"/>
    </w:rPr>
  </w:style>
  <w:style w:type="character" w:customStyle="1" w:styleId="52">
    <w:name w:val="标题 1 Char"/>
    <w:link w:val="4"/>
    <w:qFormat/>
    <w:uiPriority w:val="0"/>
    <w:rPr>
      <w:b/>
      <w:bCs/>
      <w:kern w:val="44"/>
      <w:sz w:val="44"/>
      <w:szCs w:val="44"/>
    </w:rPr>
  </w:style>
  <w:style w:type="character" w:customStyle="1" w:styleId="53">
    <w:name w:val="日期 Char"/>
    <w:link w:val="22"/>
    <w:qFormat/>
    <w:uiPriority w:val="0"/>
    <w:rPr>
      <w:kern w:val="2"/>
      <w:sz w:val="21"/>
      <w:szCs w:val="24"/>
    </w:rPr>
  </w:style>
  <w:style w:type="paragraph" w:customStyle="1" w:styleId="54">
    <w:name w:val="Default"/>
    <w:qFormat/>
    <w:uiPriority w:val="0"/>
    <w:pPr>
      <w:widowControl w:val="0"/>
      <w:autoSpaceDE w:val="0"/>
      <w:autoSpaceDN w:val="0"/>
      <w:adjustRightInd w:val="0"/>
    </w:pPr>
    <w:rPr>
      <w:rFonts w:ascii="黑体" w:hAnsi="仿宋" w:eastAsia="黑体" w:cs="黑体"/>
      <w:color w:val="000000"/>
      <w:kern w:val="2"/>
      <w:sz w:val="24"/>
      <w:szCs w:val="24"/>
      <w:lang w:val="en-US" w:eastAsia="zh-CN" w:bidi="ar-SA"/>
    </w:rPr>
  </w:style>
  <w:style w:type="character" w:customStyle="1" w:styleId="55">
    <w:name w:val="txtcontent11"/>
    <w:qFormat/>
    <w:uiPriority w:val="0"/>
    <w:rPr>
      <w:rFonts w:hint="default" w:ascii="ˎ̥" w:hAnsi="ˎ̥"/>
      <w:color w:val="000000"/>
      <w:sz w:val="21"/>
      <w:szCs w:val="21"/>
    </w:rPr>
  </w:style>
  <w:style w:type="character" w:customStyle="1" w:styleId="56">
    <w:name w:val="标题 2 Char"/>
    <w:link w:val="5"/>
    <w:qFormat/>
    <w:uiPriority w:val="0"/>
    <w:rPr>
      <w:b/>
      <w:bCs/>
      <w:sz w:val="28"/>
      <w:szCs w:val="28"/>
    </w:rPr>
  </w:style>
  <w:style w:type="character" w:customStyle="1" w:styleId="57">
    <w:name w:val="标题 3 Char"/>
    <w:link w:val="6"/>
    <w:qFormat/>
    <w:uiPriority w:val="0"/>
    <w:rPr>
      <w:b/>
      <w:bCs/>
      <w:kern w:val="2"/>
      <w:sz w:val="24"/>
      <w:szCs w:val="24"/>
    </w:rPr>
  </w:style>
  <w:style w:type="character" w:customStyle="1" w:styleId="58">
    <w:name w:val="标题 4 Char"/>
    <w:link w:val="7"/>
    <w:qFormat/>
    <w:uiPriority w:val="0"/>
    <w:rPr>
      <w:b/>
      <w:bCs/>
      <w:kern w:val="2"/>
      <w:sz w:val="24"/>
      <w:szCs w:val="24"/>
    </w:rPr>
  </w:style>
  <w:style w:type="paragraph" w:customStyle="1" w:styleId="5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列出段落1"/>
    <w:basedOn w:val="1"/>
    <w:qFormat/>
    <w:uiPriority w:val="0"/>
    <w:pPr>
      <w:ind w:firstLine="420" w:firstLineChars="200"/>
    </w:pPr>
    <w:rPr>
      <w:rFonts w:ascii="Calibri" w:hAnsi="Calibri"/>
      <w:szCs w:val="22"/>
    </w:rPr>
  </w:style>
  <w:style w:type="paragraph" w:customStyle="1" w:styleId="61">
    <w:name w:val="列出段落2"/>
    <w:basedOn w:val="1"/>
    <w:qFormat/>
    <w:uiPriority w:val="0"/>
    <w:pPr>
      <w:ind w:firstLine="420" w:firstLineChars="200"/>
    </w:pPr>
    <w:rPr>
      <w:rFonts w:ascii="Calibri" w:hAnsi="Calibri"/>
      <w:szCs w:val="22"/>
    </w:rPr>
  </w:style>
  <w:style w:type="paragraph" w:customStyle="1" w:styleId="62">
    <w:name w:val="纯文本1"/>
    <w:basedOn w:val="1"/>
    <w:qFormat/>
    <w:uiPriority w:val="0"/>
    <w:rPr>
      <w:rFonts w:ascii="宋体" w:hAnsi="Courier New" w:cs="Courier New"/>
      <w:szCs w:val="21"/>
    </w:rPr>
  </w:style>
  <w:style w:type="character" w:customStyle="1" w:styleId="63">
    <w:name w:val="页脚 Char"/>
    <w:link w:val="25"/>
    <w:qFormat/>
    <w:uiPriority w:val="99"/>
    <w:rPr>
      <w:kern w:val="2"/>
      <w:sz w:val="18"/>
      <w:szCs w:val="18"/>
    </w:rPr>
  </w:style>
  <w:style w:type="paragraph" w:customStyle="1" w:styleId="64">
    <w:name w:val="我的标题"/>
    <w:basedOn w:val="4"/>
    <w:qFormat/>
    <w:uiPriority w:val="0"/>
    <w:pPr>
      <w:spacing w:before="0" w:after="0" w:line="560" w:lineRule="exact"/>
      <w:jc w:val="center"/>
    </w:pPr>
    <w:rPr>
      <w:rFonts w:ascii="方正小标宋_GBK" w:hAnsi="方正小标宋_GBK" w:eastAsia="方正小标宋_GBK"/>
      <w:b w:val="0"/>
    </w:rPr>
  </w:style>
  <w:style w:type="paragraph" w:customStyle="1" w:styleId="65">
    <w:name w:val="我的正文"/>
    <w:basedOn w:val="1"/>
    <w:qFormat/>
    <w:uiPriority w:val="0"/>
    <w:pPr>
      <w:spacing w:line="560" w:lineRule="exact"/>
      <w:ind w:firstLine="880" w:firstLineChars="200"/>
    </w:pPr>
    <w:rPr>
      <w:rFonts w:ascii="仿宋_GB2312" w:hAnsi="仿宋_GB2312" w:eastAsia="仿宋_GB2312"/>
      <w:color w:val="auto"/>
      <w:sz w:val="32"/>
      <w:szCs w:val="20"/>
    </w:rPr>
  </w:style>
  <w:style w:type="paragraph" w:customStyle="1" w:styleId="66">
    <w:name w:val="2018.8标题2 1.1"/>
    <w:basedOn w:val="4"/>
    <w:link w:val="68"/>
    <w:qFormat/>
    <w:uiPriority w:val="0"/>
    <w:pPr>
      <w:adjustRightInd w:val="0"/>
      <w:snapToGrid w:val="0"/>
      <w:spacing w:beforeLines="50" w:afterLines="50" w:line="560" w:lineRule="exact"/>
      <w:jc w:val="center"/>
    </w:pPr>
    <w:rPr>
      <w:rFonts w:ascii="楷体" w:hAnsi="楷体" w:eastAsia="楷体"/>
      <w:b w:val="0"/>
      <w:bCs w:val="0"/>
      <w:color w:val="000000"/>
      <w:kern w:val="2"/>
      <w:sz w:val="20"/>
      <w:szCs w:val="32"/>
      <w:lang w:val="zh-CN"/>
    </w:rPr>
  </w:style>
  <w:style w:type="paragraph" w:customStyle="1" w:styleId="67">
    <w:name w:val="2018.8标题3 1.1.1"/>
    <w:basedOn w:val="6"/>
    <w:qFormat/>
    <w:uiPriority w:val="0"/>
    <w:pPr>
      <w:spacing w:before="260" w:beforeLines="0" w:after="260" w:afterLines="0" w:line="560" w:lineRule="exact"/>
      <w:ind w:left="0" w:firstLine="640" w:firstLineChars="200"/>
      <w:contextualSpacing w:val="0"/>
    </w:pPr>
    <w:rPr>
      <w:rFonts w:ascii="楷体" w:hAnsi="楷体" w:eastAsia="楷体"/>
      <w:b w:val="0"/>
      <w:bCs w:val="0"/>
      <w:color w:val="000000"/>
      <w:kern w:val="0"/>
      <w:sz w:val="32"/>
      <w:szCs w:val="32"/>
      <w:lang w:val="zh-CN"/>
    </w:rPr>
  </w:style>
  <w:style w:type="character" w:customStyle="1" w:styleId="68">
    <w:name w:val="2018.8标题2 1.1 Char"/>
    <w:link w:val="66"/>
    <w:qFormat/>
    <w:uiPriority w:val="0"/>
    <w:rPr>
      <w:rFonts w:ascii="楷体" w:hAnsi="楷体" w:eastAsia="楷体"/>
      <w:color w:val="000000"/>
      <w:kern w:val="2"/>
      <w:szCs w:val="32"/>
      <w:lang w:val="zh-CN" w:eastAsia="zh-CN"/>
    </w:rPr>
  </w:style>
  <w:style w:type="paragraph" w:customStyle="1" w:styleId="69">
    <w:name w:val="2018.8正文"/>
    <w:basedOn w:val="1"/>
    <w:link w:val="74"/>
    <w:qFormat/>
    <w:uiPriority w:val="0"/>
    <w:pPr>
      <w:spacing w:line="560" w:lineRule="exact"/>
      <w:ind w:firstLine="640" w:firstLineChars="200"/>
    </w:pPr>
    <w:rPr>
      <w:color w:val="auto"/>
      <w:kern w:val="0"/>
      <w:sz w:val="32"/>
      <w:szCs w:val="32"/>
      <w:lang w:val="zh-CN"/>
    </w:rPr>
  </w:style>
  <w:style w:type="paragraph" w:customStyle="1" w:styleId="70">
    <w:name w:val="2018.8标题1 第一部分"/>
    <w:basedOn w:val="4"/>
    <w:link w:val="73"/>
    <w:qFormat/>
    <w:uiPriority w:val="0"/>
    <w:pPr>
      <w:adjustRightInd w:val="0"/>
      <w:snapToGrid w:val="0"/>
      <w:spacing w:beforeLines="50" w:afterLines="50" w:line="560" w:lineRule="exact"/>
      <w:ind w:firstLine="640" w:firstLineChars="200"/>
      <w:jc w:val="center"/>
    </w:pPr>
    <w:rPr>
      <w:rFonts w:eastAsia="Heiti SC Medium"/>
      <w:b w:val="0"/>
      <w:bCs w:val="0"/>
      <w:color w:val="000000"/>
      <w:kern w:val="2"/>
      <w:sz w:val="20"/>
      <w:szCs w:val="32"/>
      <w:lang w:val="zh-CN"/>
    </w:rPr>
  </w:style>
  <w:style w:type="paragraph" w:customStyle="1" w:styleId="71">
    <w:name w:val="2018.8标题（）"/>
    <w:basedOn w:val="1"/>
    <w:qFormat/>
    <w:uiPriority w:val="0"/>
    <w:pPr>
      <w:spacing w:line="560" w:lineRule="exact"/>
      <w:ind w:firstLine="643" w:firstLineChars="200"/>
    </w:pPr>
    <w:rPr>
      <w:b/>
      <w:color w:val="auto"/>
      <w:sz w:val="32"/>
      <w:szCs w:val="32"/>
    </w:rPr>
  </w:style>
  <w:style w:type="paragraph" w:customStyle="1" w:styleId="72">
    <w:name w:val="2018.8标题4 1.1.1.1"/>
    <w:basedOn w:val="67"/>
    <w:qFormat/>
    <w:uiPriority w:val="0"/>
  </w:style>
  <w:style w:type="character" w:customStyle="1" w:styleId="73">
    <w:name w:val="2018.8标题1 第一部分 Char"/>
    <w:link w:val="70"/>
    <w:qFormat/>
    <w:uiPriority w:val="0"/>
    <w:rPr>
      <w:rFonts w:eastAsia="Heiti SC Medium"/>
      <w:color w:val="000000"/>
      <w:kern w:val="2"/>
      <w:szCs w:val="32"/>
      <w:lang w:val="zh-CN" w:eastAsia="zh-CN"/>
    </w:rPr>
  </w:style>
  <w:style w:type="character" w:customStyle="1" w:styleId="74">
    <w:name w:val="2018.8正文 Char"/>
    <w:link w:val="69"/>
    <w:qFormat/>
    <w:uiPriority w:val="0"/>
    <w:rPr>
      <w:sz w:val="32"/>
      <w:szCs w:val="32"/>
      <w:lang w:val="zh-CN" w:eastAsia="zh-CN"/>
    </w:rPr>
  </w:style>
  <w:style w:type="character" w:customStyle="1" w:styleId="75">
    <w:name w:val="正文文本缩进 2 Char"/>
    <w:basedOn w:val="42"/>
    <w:link w:val="23"/>
    <w:semiHidden/>
    <w:qFormat/>
    <w:uiPriority w:val="0"/>
    <w:rPr>
      <w:color w:val="000000"/>
      <w:kern w:val="2"/>
      <w:sz w:val="21"/>
      <w:szCs w:val="24"/>
    </w:rPr>
  </w:style>
  <w:style w:type="character" w:customStyle="1" w:styleId="76">
    <w:name w:val="正文文本缩进 Char"/>
    <w:basedOn w:val="42"/>
    <w:link w:val="3"/>
    <w:qFormat/>
    <w:uiPriority w:val="0"/>
    <w:rPr>
      <w:rFonts w:hint="default" w:ascii="Times New Roman" w:hAnsi="Times New Roman" w:cs="Times New Roman"/>
      <w:szCs w:val="24"/>
    </w:rPr>
  </w:style>
  <w:style w:type="paragraph" w:customStyle="1" w:styleId="77">
    <w:name w:val="列出段落11"/>
    <w:basedOn w:val="1"/>
    <w:qFormat/>
    <w:uiPriority w:val="0"/>
    <w:pPr>
      <w:ind w:firstLine="420" w:firstLineChars="200"/>
    </w:pPr>
    <w:rPr>
      <w:rFonts w:ascii="Times New Roman" w:hAnsi="Times New Roman" w:eastAsia="宋体"/>
    </w:rPr>
  </w:style>
  <w:style w:type="paragraph" w:customStyle="1" w:styleId="78">
    <w:name w:val=".."/>
    <w:basedOn w:val="54"/>
    <w:next w:val="54"/>
    <w:qFormat/>
    <w:uiPriority w:val="0"/>
  </w:style>
  <w:style w:type="character" w:customStyle="1" w:styleId="79">
    <w:name w:val="标题 8 Char"/>
    <w:basedOn w:val="42"/>
    <w:link w:val="11"/>
    <w:qFormat/>
    <w:uiPriority w:val="0"/>
    <w:rPr>
      <w:i/>
      <w:sz w:val="24"/>
      <w:szCs w:val="24"/>
      <w:lang w:eastAsia="en-US" w:bidi="en-US"/>
    </w:rPr>
  </w:style>
  <w:style w:type="character" w:customStyle="1" w:styleId="80">
    <w:name w:val="正文文本缩进 3 Char"/>
    <w:basedOn w:val="42"/>
    <w:link w:val="32"/>
    <w:qFormat/>
    <w:uiPriority w:val="0"/>
    <w:rPr>
      <w:rFonts w:hint="eastAsia" w:ascii="宋体" w:hAnsi="Times New Roman" w:eastAsia="宋体" w:cs="宋体"/>
      <w:bCs/>
      <w:sz w:val="28"/>
      <w:szCs w:val="24"/>
    </w:rPr>
  </w:style>
  <w:style w:type="character" w:customStyle="1" w:styleId="81">
    <w:name w:val="批注文字 Char1"/>
    <w:basedOn w:val="42"/>
    <w:qFormat/>
    <w:uiPriority w:val="0"/>
    <w:rPr>
      <w:rFonts w:hint="default" w:ascii="Calibri" w:hAnsi="Calibri" w:eastAsia="宋体" w:cs="Times New Roman"/>
      <w:kern w:val="0"/>
      <w:sz w:val="24"/>
      <w:szCs w:val="24"/>
      <w:lang w:eastAsia="en-US" w:bidi="en-US"/>
    </w:rPr>
  </w:style>
  <w:style w:type="character" w:customStyle="1" w:styleId="82">
    <w:name w:val="标题 5 Char"/>
    <w:basedOn w:val="42"/>
    <w:link w:val="8"/>
    <w:qFormat/>
    <w:uiPriority w:val="0"/>
    <w:rPr>
      <w:b/>
      <w:i/>
      <w:sz w:val="26"/>
      <w:szCs w:val="26"/>
      <w:lang w:eastAsia="en-US" w:bidi="en-US"/>
    </w:rPr>
  </w:style>
  <w:style w:type="character" w:customStyle="1" w:styleId="83">
    <w:name w:val="明显强调1"/>
    <w:basedOn w:val="42"/>
    <w:qFormat/>
    <w:uiPriority w:val="0"/>
    <w:rPr>
      <w:b/>
      <w:i/>
      <w:sz w:val="24"/>
      <w:szCs w:val="24"/>
      <w:u w:val="single"/>
    </w:rPr>
  </w:style>
  <w:style w:type="character" w:customStyle="1" w:styleId="84">
    <w:name w:val="标题 Char"/>
    <w:basedOn w:val="42"/>
    <w:link w:val="37"/>
    <w:qFormat/>
    <w:uiPriority w:val="0"/>
    <w:rPr>
      <w:rFonts w:hint="default" w:ascii="Cambria" w:hAnsi="Cambria" w:eastAsia="Cambria" w:cs="Cambria"/>
      <w:b/>
      <w:kern w:val="28"/>
      <w:sz w:val="32"/>
      <w:szCs w:val="32"/>
      <w:lang w:eastAsia="en-US" w:bidi="en-US"/>
    </w:rPr>
  </w:style>
  <w:style w:type="character" w:customStyle="1" w:styleId="85">
    <w:name w:val="正文文本 Char1"/>
    <w:basedOn w:val="42"/>
    <w:qFormat/>
    <w:uiPriority w:val="0"/>
    <w:rPr>
      <w:rFonts w:hint="default" w:ascii="Calibri" w:hAnsi="Calibri" w:eastAsia="宋体" w:cs="Times New Roman"/>
      <w:kern w:val="0"/>
      <w:sz w:val="24"/>
      <w:szCs w:val="24"/>
      <w:lang w:eastAsia="en-US" w:bidi="en-US"/>
    </w:rPr>
  </w:style>
  <w:style w:type="character" w:customStyle="1" w:styleId="86">
    <w:name w:val="明显参考1"/>
    <w:basedOn w:val="42"/>
    <w:qFormat/>
    <w:uiPriority w:val="0"/>
    <w:rPr>
      <w:b/>
      <w:sz w:val="24"/>
      <w:u w:val="single"/>
    </w:rPr>
  </w:style>
  <w:style w:type="character" w:customStyle="1" w:styleId="87">
    <w:name w:val="正文文本 3 Char1"/>
    <w:basedOn w:val="42"/>
    <w:qFormat/>
    <w:uiPriority w:val="0"/>
    <w:rPr>
      <w:rFonts w:hint="default" w:ascii="Calibri" w:hAnsi="Calibri" w:eastAsia="宋体" w:cs="Times New Roman"/>
      <w:kern w:val="0"/>
      <w:sz w:val="16"/>
      <w:szCs w:val="16"/>
      <w:lang w:eastAsia="en-US" w:bidi="en-US"/>
    </w:rPr>
  </w:style>
  <w:style w:type="character" w:customStyle="1" w:styleId="88">
    <w:name w:val="批注框文本 Char1"/>
    <w:basedOn w:val="42"/>
    <w:qFormat/>
    <w:uiPriority w:val="0"/>
    <w:rPr>
      <w:rFonts w:hint="default" w:ascii="Calibri" w:hAnsi="Calibri" w:eastAsia="宋体" w:cs="Times New Roman"/>
      <w:kern w:val="0"/>
      <w:sz w:val="18"/>
      <w:szCs w:val="18"/>
      <w:lang w:eastAsia="en-US" w:bidi="en-US"/>
    </w:rPr>
  </w:style>
  <w:style w:type="character" w:customStyle="1" w:styleId="89">
    <w:name w:val="正文文本 3 Char"/>
    <w:basedOn w:val="42"/>
    <w:link w:val="16"/>
    <w:qFormat/>
    <w:uiPriority w:val="0"/>
    <w:rPr>
      <w:rFonts w:hint="default" w:ascii="Times New Roman" w:hAnsi="Times New Roman" w:cs="Times New Roman"/>
      <w:sz w:val="16"/>
      <w:szCs w:val="16"/>
    </w:rPr>
  </w:style>
  <w:style w:type="character" w:customStyle="1" w:styleId="90">
    <w:name w:val="big1"/>
    <w:basedOn w:val="42"/>
    <w:qFormat/>
    <w:uiPriority w:val="0"/>
    <w:rPr>
      <w:spacing w:val="360"/>
      <w:sz w:val="22"/>
      <w:szCs w:val="22"/>
    </w:rPr>
  </w:style>
  <w:style w:type="character" w:customStyle="1" w:styleId="91">
    <w:name w:val="标题 6 Char"/>
    <w:basedOn w:val="42"/>
    <w:link w:val="9"/>
    <w:qFormat/>
    <w:uiPriority w:val="0"/>
    <w:rPr>
      <w:b/>
      <w:sz w:val="22"/>
      <w:lang w:eastAsia="en-US" w:bidi="en-US"/>
    </w:rPr>
  </w:style>
  <w:style w:type="character" w:customStyle="1" w:styleId="92">
    <w:name w:val="标题 7 Char"/>
    <w:basedOn w:val="42"/>
    <w:link w:val="10"/>
    <w:qFormat/>
    <w:uiPriority w:val="0"/>
    <w:rPr>
      <w:sz w:val="24"/>
      <w:szCs w:val="24"/>
      <w:lang w:eastAsia="en-US" w:bidi="en-US"/>
    </w:rPr>
  </w:style>
  <w:style w:type="character" w:customStyle="1" w:styleId="93">
    <w:name w:val="标题 9 Char"/>
    <w:basedOn w:val="42"/>
    <w:link w:val="12"/>
    <w:qFormat/>
    <w:uiPriority w:val="0"/>
    <w:rPr>
      <w:rFonts w:hint="default" w:ascii="Cambria" w:hAnsi="Cambria" w:eastAsia="Cambria" w:cs="Cambria"/>
      <w:sz w:val="22"/>
      <w:lang w:eastAsia="en-US" w:bidi="en-US"/>
    </w:rPr>
  </w:style>
  <w:style w:type="character" w:customStyle="1" w:styleId="94">
    <w:name w:val="批注文字 Char"/>
    <w:basedOn w:val="42"/>
    <w:link w:val="15"/>
    <w:qFormat/>
    <w:uiPriority w:val="0"/>
    <w:rPr>
      <w:kern w:val="2"/>
      <w:sz w:val="21"/>
      <w:szCs w:val="22"/>
    </w:rPr>
  </w:style>
  <w:style w:type="character" w:customStyle="1" w:styleId="95">
    <w:name w:val="批注主题 Char"/>
    <w:basedOn w:val="94"/>
    <w:link w:val="38"/>
    <w:qFormat/>
    <w:uiPriority w:val="0"/>
    <w:rPr>
      <w:rFonts w:hint="default" w:ascii="Times New Roman" w:hAnsi="Times New Roman" w:cs="Times New Roman"/>
      <w:b/>
      <w:kern w:val="2"/>
      <w:sz w:val="21"/>
      <w:szCs w:val="24"/>
    </w:rPr>
  </w:style>
  <w:style w:type="character" w:customStyle="1" w:styleId="96">
    <w:name w:val="正文文本 Char"/>
    <w:basedOn w:val="42"/>
    <w:link w:val="17"/>
    <w:qFormat/>
    <w:uiPriority w:val="0"/>
    <w:rPr>
      <w:kern w:val="2"/>
      <w:sz w:val="21"/>
      <w:szCs w:val="22"/>
    </w:rPr>
  </w:style>
  <w:style w:type="character" w:customStyle="1" w:styleId="97">
    <w:name w:val="正文首行缩进 Char"/>
    <w:basedOn w:val="96"/>
    <w:link w:val="39"/>
    <w:qFormat/>
    <w:uiPriority w:val="0"/>
    <w:rPr>
      <w:rFonts w:hint="default" w:ascii="Times New Roman" w:hAnsi="Times New Roman" w:cs="Times New Roman"/>
      <w:kern w:val="2"/>
      <w:sz w:val="21"/>
      <w:szCs w:val="22"/>
    </w:rPr>
  </w:style>
  <w:style w:type="character" w:customStyle="1" w:styleId="98">
    <w:name w:val="文档结构图 Char"/>
    <w:basedOn w:val="42"/>
    <w:link w:val="14"/>
    <w:qFormat/>
    <w:uiPriority w:val="0"/>
    <w:rPr>
      <w:rFonts w:hint="default" w:ascii="Times New Roman" w:hAnsi="Times New Roman" w:cs="Times New Roman"/>
      <w:szCs w:val="24"/>
      <w:shd w:val="clear" w:color="auto" w:fill="000080"/>
    </w:rPr>
  </w:style>
  <w:style w:type="character" w:customStyle="1" w:styleId="99">
    <w:name w:val="批注框文本 Char"/>
    <w:basedOn w:val="42"/>
    <w:link w:val="24"/>
    <w:qFormat/>
    <w:uiPriority w:val="0"/>
    <w:rPr>
      <w:rFonts w:hint="default" w:ascii="Times New Roman" w:hAnsi="Times New Roman" w:cs="Times New Roman"/>
      <w:sz w:val="18"/>
      <w:szCs w:val="18"/>
    </w:rPr>
  </w:style>
  <w:style w:type="character" w:customStyle="1" w:styleId="100">
    <w:name w:val="副标题 Char"/>
    <w:basedOn w:val="42"/>
    <w:link w:val="29"/>
    <w:qFormat/>
    <w:uiPriority w:val="0"/>
    <w:rPr>
      <w:rFonts w:hint="default" w:ascii="Cambria" w:hAnsi="Cambria" w:eastAsia="黑体" w:cs="Cambria"/>
      <w:b/>
      <w:kern w:val="28"/>
      <w:sz w:val="24"/>
      <w:szCs w:val="32"/>
    </w:rPr>
  </w:style>
  <w:style w:type="character" w:customStyle="1" w:styleId="101">
    <w:name w:val="脚注文本 Char"/>
    <w:basedOn w:val="42"/>
    <w:link w:val="30"/>
    <w:qFormat/>
    <w:uiPriority w:val="0"/>
    <w:rPr>
      <w:rFonts w:hint="default" w:ascii="Times New Roman" w:hAnsi="Times New Roman" w:cs="Times New Roman"/>
      <w:sz w:val="18"/>
      <w:szCs w:val="18"/>
    </w:rPr>
  </w:style>
  <w:style w:type="character" w:customStyle="1" w:styleId="102">
    <w:name w:val="正文文本 2 Char"/>
    <w:basedOn w:val="42"/>
    <w:link w:val="35"/>
    <w:qFormat/>
    <w:uiPriority w:val="0"/>
    <w:rPr>
      <w:rFonts w:hint="default" w:ascii="Times New Roman" w:hAnsi="Times New Roman" w:cs="Times New Roman"/>
      <w:szCs w:val="24"/>
    </w:rPr>
  </w:style>
  <w:style w:type="character" w:customStyle="1" w:styleId="103">
    <w:name w:val="明显引用 Char"/>
    <w:basedOn w:val="42"/>
    <w:qFormat/>
    <w:uiPriority w:val="0"/>
    <w:rPr>
      <w:b/>
      <w:i/>
      <w:sz w:val="24"/>
      <w:lang w:eastAsia="en-US" w:bidi="en-US"/>
    </w:rPr>
  </w:style>
  <w:style w:type="character" w:customStyle="1" w:styleId="104">
    <w:name w:val="引用 Char"/>
    <w:basedOn w:val="42"/>
    <w:qFormat/>
    <w:uiPriority w:val="0"/>
    <w:rPr>
      <w:i/>
      <w:sz w:val="24"/>
      <w:szCs w:val="24"/>
      <w:lang w:eastAsia="en-US" w:bidi="en-US"/>
    </w:rPr>
  </w:style>
  <w:style w:type="character" w:customStyle="1" w:styleId="105">
    <w:name w:val="read"/>
    <w:basedOn w:val="42"/>
    <w:qFormat/>
    <w:uiPriority w:val="0"/>
  </w:style>
  <w:style w:type="paragraph" w:customStyle="1" w:styleId="106">
    <w:name w:val="正文文本缩进 31"/>
    <w:basedOn w:val="1"/>
    <w:qFormat/>
    <w:uiPriority w:val="0"/>
    <w:pPr>
      <w:spacing w:line="336" w:lineRule="auto"/>
      <w:ind w:firstLine="560" w:firstLineChars="200"/>
    </w:pPr>
    <w:rPr>
      <w:rFonts w:hint="eastAsia" w:ascii="仿宋_GB2312" w:hAnsi="宋体" w:eastAsia="仿宋_GB2312"/>
      <w:kern w:val="0"/>
      <w:sz w:val="28"/>
      <w:szCs w:val="28"/>
    </w:rPr>
  </w:style>
  <w:style w:type="paragraph" w:customStyle="1" w:styleId="107">
    <w:name w:val="汇编  正文  好"/>
    <w:basedOn w:val="23"/>
    <w:qFormat/>
    <w:uiPriority w:val="0"/>
    <w:pPr>
      <w:spacing w:after="0" w:line="400" w:lineRule="exact"/>
      <w:ind w:left="0" w:firstLine="200" w:firstLineChars="200"/>
    </w:pPr>
    <w:rPr>
      <w:rFonts w:ascii="Arial" w:hAnsi="Arial" w:eastAsia="汉仪细等线简"/>
      <w:w w:val="105"/>
      <w:sz w:val="20"/>
    </w:rPr>
  </w:style>
  <w:style w:type="character" w:customStyle="1" w:styleId="108">
    <w:name w:val="无间隔 Char"/>
    <w:basedOn w:val="42"/>
    <w:qFormat/>
    <w:uiPriority w:val="0"/>
    <w:rPr>
      <w:sz w:val="22"/>
    </w:rPr>
  </w:style>
  <w:style w:type="character" w:customStyle="1" w:styleId="109">
    <w:name w:val="样式1 Char"/>
    <w:basedOn w:val="42"/>
    <w:qFormat/>
    <w:uiPriority w:val="0"/>
    <w:rPr>
      <w:rFonts w:hint="default" w:ascii="Times New Roman" w:hAnsi="Times New Roman" w:eastAsia="仿宋_GB2312" w:cs="Times New Roman"/>
      <w:sz w:val="28"/>
    </w:rPr>
  </w:style>
  <w:style w:type="character" w:customStyle="1" w:styleId="110">
    <w:name w:val="不明显强调1"/>
    <w:basedOn w:val="42"/>
    <w:qFormat/>
    <w:uiPriority w:val="0"/>
    <w:rPr>
      <w:i/>
      <w:color w:val="5A5A5A"/>
    </w:rPr>
  </w:style>
  <w:style w:type="character" w:customStyle="1" w:styleId="111">
    <w:name w:val="批注主题 Char1"/>
    <w:basedOn w:val="42"/>
    <w:qFormat/>
    <w:uiPriority w:val="0"/>
    <w:rPr>
      <w:rFonts w:hint="default" w:ascii="Calibri" w:hAnsi="Calibri" w:eastAsia="宋体" w:cs="Times New Roman"/>
      <w:b/>
      <w:kern w:val="0"/>
      <w:sz w:val="24"/>
      <w:szCs w:val="24"/>
      <w:lang w:eastAsia="en-US" w:bidi="en-US"/>
    </w:rPr>
  </w:style>
  <w:style w:type="character" w:customStyle="1" w:styleId="112">
    <w:name w:val="不明显参考1"/>
    <w:basedOn w:val="42"/>
    <w:qFormat/>
    <w:uiPriority w:val="0"/>
    <w:rPr>
      <w:sz w:val="24"/>
      <w:szCs w:val="24"/>
      <w:u w:val="single"/>
    </w:rPr>
  </w:style>
  <w:style w:type="character" w:customStyle="1" w:styleId="113">
    <w:name w:val="书籍标题1"/>
    <w:basedOn w:val="42"/>
    <w:qFormat/>
    <w:uiPriority w:val="0"/>
    <w:rPr>
      <w:rFonts w:hint="default" w:ascii="Cambria" w:hAnsi="Cambria" w:eastAsia="宋体" w:cs="Cambria"/>
      <w:b/>
      <w:i/>
      <w:sz w:val="24"/>
      <w:szCs w:val="24"/>
    </w:rPr>
  </w:style>
  <w:style w:type="character" w:customStyle="1" w:styleId="114">
    <w:name w:val="未处理的提及1"/>
    <w:basedOn w:val="42"/>
    <w:qFormat/>
    <w:uiPriority w:val="0"/>
    <w:rPr>
      <w:color w:val="605E5C"/>
      <w:shd w:val="clear" w:color="auto" w:fill="E1DFDD"/>
    </w:rPr>
  </w:style>
  <w:style w:type="character" w:customStyle="1" w:styleId="115">
    <w:name w:val="apple-converted-space"/>
    <w:basedOn w:val="42"/>
    <w:qFormat/>
    <w:uiPriority w:val="0"/>
  </w:style>
  <w:style w:type="paragraph" w:customStyle="1" w:styleId="116">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17">
    <w:name w:val="Table Paragraph"/>
    <w:basedOn w:val="1"/>
    <w:qFormat/>
    <w:uiPriority w:val="1"/>
    <w:pPr>
      <w:spacing w:before="170"/>
      <w:ind w:left="113"/>
    </w:pPr>
  </w:style>
  <w:style w:type="table" w:customStyle="1" w:styleId="118">
    <w:name w:val="Table Normal"/>
    <w:semiHidden/>
    <w:unhideWhenUsed/>
    <w:qFormat/>
    <w:uiPriority w:val="2"/>
    <w:rPr>
      <w:rFonts w:asciiTheme="minorHAnsi" w:hAnsiTheme="minorHAnsi" w:eastAsiaTheme="minorEastAsia" w:cstheme="minorBidi"/>
    </w:rPr>
    <w:tblPr>
      <w:tblCellMar>
        <w:top w:w="0" w:type="dxa"/>
        <w:left w:w="0" w:type="dxa"/>
        <w:bottom w:w="0" w:type="dxa"/>
        <w:right w:w="0" w:type="dxa"/>
      </w:tblCellMar>
    </w:tblPr>
  </w:style>
  <w:style w:type="paragraph" w:customStyle="1" w:styleId="119">
    <w:name w:val="修订1"/>
    <w:hidden/>
    <w:semiHidden/>
    <w:qFormat/>
    <w:uiPriority w:val="99"/>
    <w:rPr>
      <w:rFonts w:ascii="仿宋" w:hAnsi="仿宋" w:eastAsia="仿宋" w:cs="Times New Roman"/>
      <w:color w:val="000000"/>
      <w:kern w:val="2"/>
      <w:sz w:val="21"/>
      <w:szCs w:val="24"/>
      <w:lang w:val="en-US" w:eastAsia="zh-CN" w:bidi="ar-SA"/>
    </w:rPr>
  </w:style>
  <w:style w:type="paragraph" w:customStyle="1" w:styleId="120">
    <w:name w:val="修订2"/>
    <w:hidden/>
    <w:semiHidden/>
    <w:qFormat/>
    <w:uiPriority w:val="99"/>
    <w:rPr>
      <w:rFonts w:ascii="仿宋" w:hAnsi="仿宋" w:eastAsia="仿宋" w:cs="Times New Roman"/>
      <w:color w:val="000000"/>
      <w:kern w:val="2"/>
      <w:sz w:val="21"/>
      <w:szCs w:val="24"/>
      <w:lang w:val="en-US" w:eastAsia="zh-CN" w:bidi="ar-SA"/>
    </w:rPr>
  </w:style>
  <w:style w:type="paragraph" w:customStyle="1" w:styleId="121">
    <w:name w:val="修订3"/>
    <w:hidden/>
    <w:semiHidden/>
    <w:qFormat/>
    <w:uiPriority w:val="99"/>
    <w:rPr>
      <w:rFonts w:ascii="仿宋" w:hAnsi="仿宋" w:eastAsia="仿宋" w:cs="Times New Roman"/>
      <w:color w:val="000000"/>
      <w:kern w:val="2"/>
      <w:sz w:val="21"/>
      <w:szCs w:val="24"/>
      <w:lang w:val="en-US" w:eastAsia="zh-CN" w:bidi="ar-SA"/>
    </w:rPr>
  </w:style>
  <w:style w:type="paragraph" w:customStyle="1" w:styleId="122">
    <w:name w:val="修订4"/>
    <w:hidden/>
    <w:semiHidden/>
    <w:qFormat/>
    <w:uiPriority w:val="99"/>
    <w:rPr>
      <w:rFonts w:ascii="仿宋" w:hAnsi="仿宋" w:eastAsia="仿宋" w:cs="Times New Roman"/>
      <w:color w:val="000000"/>
      <w:kern w:val="2"/>
      <w:sz w:val="21"/>
      <w:szCs w:val="24"/>
      <w:lang w:val="en-US" w:eastAsia="zh-CN" w:bidi="ar-SA"/>
    </w:rPr>
  </w:style>
  <w:style w:type="character" w:customStyle="1" w:styleId="123">
    <w:name w:val="正文首行缩进 2 Char"/>
    <w:basedOn w:val="76"/>
    <w:link w:val="2"/>
    <w:qFormat/>
    <w:uiPriority w:val="0"/>
    <w:rPr>
      <w:rFonts w:hint="default" w:ascii="Times New Roman" w:hAnsi="Times New Roman" w:cs="Times New Roman"/>
      <w:color w:val="000000"/>
      <w:szCs w:val="24"/>
    </w:rPr>
  </w:style>
  <w:style w:type="character" w:customStyle="1" w:styleId="124">
    <w:name w:val="未处理的提及2"/>
    <w:basedOn w:val="42"/>
    <w:semiHidden/>
    <w:unhideWhenUsed/>
    <w:qFormat/>
    <w:uiPriority w:val="99"/>
    <w:rPr>
      <w:color w:val="605E5C"/>
      <w:shd w:val="clear" w:color="auto" w:fill="E1DFDD"/>
    </w:rPr>
  </w:style>
  <w:style w:type="table" w:customStyle="1" w:styleId="125">
    <w:name w:val="网格型1"/>
    <w:basedOn w:val="40"/>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6">
    <w:name w:val="Table Normal1"/>
    <w:semiHidden/>
    <w:unhideWhenUsed/>
    <w:qFormat/>
    <w:uiPriority w:val="2"/>
    <w:rPr>
      <w:rFonts w:asciiTheme="minorHAnsi" w:hAnsiTheme="minorHAnsi" w:eastAsiaTheme="minorEastAsia" w:cstheme="minorBidi"/>
    </w:rPr>
    <w:tblPr>
      <w:tblCellMar>
        <w:top w:w="0" w:type="dxa"/>
        <w:left w:w="0" w:type="dxa"/>
        <w:bottom w:w="0" w:type="dxa"/>
        <w:right w:w="0" w:type="dxa"/>
      </w:tblCellMar>
    </w:tblPr>
  </w:style>
  <w:style w:type="paragraph" w:customStyle="1" w:styleId="127">
    <w:name w:val="修订41"/>
    <w:hidden/>
    <w:semiHidden/>
    <w:qFormat/>
    <w:uiPriority w:val="99"/>
    <w:rPr>
      <w:rFonts w:ascii="仿宋" w:hAnsi="仿宋" w:eastAsia="仿宋" w:cs="Times New Roman"/>
      <w:color w:val="000000"/>
      <w:kern w:val="2"/>
      <w:sz w:val="21"/>
      <w:szCs w:val="24"/>
      <w:lang w:val="en-US" w:eastAsia="zh-CN" w:bidi="ar-SA"/>
    </w:rPr>
  </w:style>
  <w:style w:type="character" w:customStyle="1" w:styleId="128">
    <w:name w:val="未处理的提及21"/>
    <w:basedOn w:val="42"/>
    <w:semiHidden/>
    <w:unhideWhenUsed/>
    <w:qFormat/>
    <w:uiPriority w:val="99"/>
    <w:rPr>
      <w:color w:val="605E5C"/>
      <w:shd w:val="clear" w:color="auto" w:fill="E1DFDD"/>
    </w:rPr>
  </w:style>
  <w:style w:type="paragraph" w:customStyle="1" w:styleId="129">
    <w:name w:val="修订5"/>
    <w:hidden/>
    <w:semiHidden/>
    <w:qFormat/>
    <w:uiPriority w:val="99"/>
    <w:rPr>
      <w:rFonts w:ascii="仿宋" w:hAnsi="仿宋" w:eastAsia="仿宋" w:cs="Times New Roman"/>
      <w:color w:val="000000"/>
      <w:kern w:val="2"/>
      <w:sz w:val="21"/>
      <w:szCs w:val="24"/>
      <w:lang w:val="en-US" w:eastAsia="zh-CN" w:bidi="ar-SA"/>
    </w:rPr>
  </w:style>
  <w:style w:type="character" w:customStyle="1" w:styleId="130">
    <w:name w:val="未处理的提及3"/>
    <w:basedOn w:val="42"/>
    <w:semiHidden/>
    <w:unhideWhenUsed/>
    <w:qFormat/>
    <w:uiPriority w:val="99"/>
    <w:rPr>
      <w:color w:val="605E5C"/>
      <w:shd w:val="clear" w:color="auto" w:fill="E1DFDD"/>
    </w:rPr>
  </w:style>
  <w:style w:type="character" w:customStyle="1" w:styleId="131">
    <w:name w:val="未处理的提及311"/>
    <w:basedOn w:val="42"/>
    <w:semiHidden/>
    <w:unhideWhenUsed/>
    <w:qFormat/>
    <w:uiPriority w:val="99"/>
    <w:rPr>
      <w:color w:val="605E5C"/>
      <w:shd w:val="clear" w:color="auto" w:fill="E1DFDD"/>
    </w:rPr>
  </w:style>
  <w:style w:type="character" w:customStyle="1" w:styleId="132">
    <w:name w:val="未处理的提及4"/>
    <w:basedOn w:val="42"/>
    <w:semiHidden/>
    <w:unhideWhenUsed/>
    <w:qFormat/>
    <w:uiPriority w:val="99"/>
    <w:rPr>
      <w:color w:val="605E5C"/>
      <w:shd w:val="clear" w:color="auto" w:fill="E1DFDD"/>
    </w:rPr>
  </w:style>
  <w:style w:type="paragraph" w:customStyle="1" w:styleId="133">
    <w:name w:val="修订6"/>
    <w:hidden/>
    <w:semiHidden/>
    <w:qFormat/>
    <w:uiPriority w:val="99"/>
    <w:rPr>
      <w:rFonts w:ascii="仿宋" w:hAnsi="仿宋" w:eastAsia="仿宋" w:cs="Times New Roman"/>
      <w:color w:val="000000"/>
      <w:kern w:val="2"/>
      <w:sz w:val="21"/>
      <w:szCs w:val="24"/>
      <w:lang w:val="en-US" w:eastAsia="zh-CN" w:bidi="ar-SA"/>
    </w:rPr>
  </w:style>
  <w:style w:type="paragraph" w:customStyle="1" w:styleId="134">
    <w:name w:val="标题 4（顶点）"/>
    <w:basedOn w:val="7"/>
    <w:next w:val="1"/>
    <w:qFormat/>
    <w:uiPriority w:val="0"/>
    <w:pPr>
      <w:keepNext/>
      <w:keepLines/>
      <w:widowControl/>
      <w:numPr>
        <w:ilvl w:val="3"/>
        <w:numId w:val="1"/>
      </w:numPr>
      <w:spacing w:before="280" w:beforeLines="0" w:after="156" w:afterLines="0" w:line="377" w:lineRule="auto"/>
      <w:contextualSpacing w:val="0"/>
    </w:pPr>
    <w:rPr>
      <w:rFonts w:ascii="Arial" w:hAnsi="Arial" w:eastAsia="黑体"/>
      <w:bCs w:val="0"/>
      <w:kern w:val="0"/>
      <w:sz w:val="28"/>
      <w:szCs w:val="28"/>
    </w:rPr>
  </w:style>
  <w:style w:type="paragraph" w:customStyle="1" w:styleId="135">
    <w:name w:val="正文首行缩进（顶点）"/>
    <w:basedOn w:val="1"/>
    <w:qFormat/>
    <w:uiPriority w:val="0"/>
    <w:pPr>
      <w:widowControl/>
      <w:spacing w:after="50" w:line="360" w:lineRule="auto"/>
      <w:ind w:firstLine="200" w:firstLineChars="200"/>
    </w:pPr>
    <w:rPr>
      <w:rFonts w:ascii="Arial" w:hAnsi="Arial" w:eastAsia="宋体"/>
      <w:color w:val="auto"/>
      <w:kern w:val="0"/>
      <w:szCs w:val="21"/>
    </w:rPr>
  </w:style>
  <w:style w:type="character" w:customStyle="1" w:styleId="136">
    <w:name w:val="未处理的提及31"/>
    <w:basedOn w:val="42"/>
    <w:semiHidden/>
    <w:unhideWhenUsed/>
    <w:qFormat/>
    <w:uiPriority w:val="99"/>
    <w:rPr>
      <w:color w:val="605E5C"/>
      <w:shd w:val="clear" w:color="auto" w:fill="E1DFDD"/>
    </w:rPr>
  </w:style>
  <w:style w:type="paragraph" w:customStyle="1" w:styleId="137">
    <w:name w:val="修订61"/>
    <w:hidden/>
    <w:semiHidden/>
    <w:qFormat/>
    <w:uiPriority w:val="99"/>
    <w:rPr>
      <w:rFonts w:ascii="仿宋" w:hAnsi="仿宋" w:eastAsia="仿宋" w:cs="Times New Roman"/>
      <w:color w:val="000000"/>
      <w:kern w:val="2"/>
      <w:sz w:val="21"/>
      <w:szCs w:val="24"/>
      <w:lang w:val="en-US" w:eastAsia="zh-CN" w:bidi="ar-SA"/>
    </w:rPr>
  </w:style>
  <w:style w:type="paragraph" w:customStyle="1" w:styleId="138">
    <w:name w:val="修订7"/>
    <w:hidden/>
    <w:semiHidden/>
    <w:qFormat/>
    <w:uiPriority w:val="99"/>
    <w:rPr>
      <w:rFonts w:ascii="仿宋" w:hAnsi="仿宋" w:eastAsia="仿宋" w:cs="Times New Roman"/>
      <w:color w:val="000000"/>
      <w:kern w:val="2"/>
      <w:sz w:val="21"/>
      <w:szCs w:val="24"/>
      <w:lang w:val="en-US" w:eastAsia="zh-CN" w:bidi="ar-SA"/>
    </w:rPr>
  </w:style>
  <w:style w:type="paragraph" w:customStyle="1" w:styleId="139">
    <w:name w:val="修订8"/>
    <w:hidden/>
    <w:semiHidden/>
    <w:qFormat/>
    <w:uiPriority w:val="99"/>
    <w:rPr>
      <w:rFonts w:ascii="仿宋" w:hAnsi="仿宋" w:eastAsia="仿宋" w:cs="Times New Roman"/>
      <w:color w:val="000000"/>
      <w:kern w:val="2"/>
      <w:sz w:val="21"/>
      <w:szCs w:val="24"/>
      <w:lang w:val="en-US" w:eastAsia="zh-CN" w:bidi="ar-SA"/>
    </w:rPr>
  </w:style>
  <w:style w:type="paragraph" w:customStyle="1" w:styleId="140">
    <w:name w:val="修订9"/>
    <w:hidden/>
    <w:semiHidden/>
    <w:qFormat/>
    <w:uiPriority w:val="99"/>
    <w:rPr>
      <w:rFonts w:ascii="仿宋" w:hAnsi="仿宋" w:eastAsia="仿宋" w:cs="Times New Roman"/>
      <w:color w:val="000000"/>
      <w:kern w:val="2"/>
      <w:sz w:val="21"/>
      <w:szCs w:val="24"/>
      <w:lang w:val="en-US" w:eastAsia="zh-CN" w:bidi="ar-SA"/>
    </w:rPr>
  </w:style>
  <w:style w:type="paragraph" w:customStyle="1" w:styleId="141">
    <w:name w:val="修订10"/>
    <w:hidden/>
    <w:semiHidden/>
    <w:qFormat/>
    <w:uiPriority w:val="99"/>
    <w:rPr>
      <w:rFonts w:ascii="仿宋" w:hAnsi="仿宋" w:eastAsia="仿宋" w:cs="Times New Roman"/>
      <w:color w:val="000000"/>
      <w:kern w:val="2"/>
      <w:sz w:val="21"/>
      <w:szCs w:val="24"/>
      <w:lang w:val="en-US" w:eastAsia="zh-CN" w:bidi="ar-SA"/>
    </w:rPr>
  </w:style>
  <w:style w:type="character" w:customStyle="1" w:styleId="142">
    <w:name w:val="标题 字符1"/>
    <w:basedOn w:val="42"/>
    <w:qFormat/>
    <w:locked/>
    <w:uiPriority w:val="0"/>
    <w:rPr>
      <w:rFonts w:ascii="Calibri Light" w:hAnsi="Calibri Light"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文档" ma:contentTypeID="0x010100AE01D7438F5BA747993366901ADFE358" ma:contentTypeVersion="1" ma:contentTypeDescription="新建文档。" ma:contentTypeScope="" ma:versionID="02b06008a9a3b4b07c8f02c3609e2778">
  <xsd:schema xmlns:xsd="http://www.w3.org/2001/XMLSchema" xmlns:xs="http://www.w3.org/2001/XMLSchema" xmlns:p="http://schemas.microsoft.com/office/2006/metadata/properties" xmlns:ns2="111cf848-1df0-49a5-934d-c6c02e2b3643" targetNamespace="http://schemas.microsoft.com/office/2006/metadata/properties" ma:root="true" ma:fieldsID="45b33033377e42c64df3b1e66c761eef" ns2:_="">
    <xsd:import namespace="111cf848-1df0-49a5-934d-c6c02e2b364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cf848-1df0-49a5-934d-c6c02e2b3643"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FE64A-4388-4DC4-8BC9-4A0E98D280E5}">
  <ds:schemaRefs/>
</ds:datastoreItem>
</file>

<file path=customXml/itemProps2.xml><?xml version="1.0" encoding="utf-8"?>
<ds:datastoreItem xmlns:ds="http://schemas.openxmlformats.org/officeDocument/2006/customXml" ds:itemID="{B884B393-27AA-4A32-A980-4E995DFB8C4F}">
  <ds:schemaRefs/>
</ds:datastoreItem>
</file>

<file path=customXml/itemProps3.xml><?xml version="1.0" encoding="utf-8"?>
<ds:datastoreItem xmlns:ds="http://schemas.openxmlformats.org/officeDocument/2006/customXml" ds:itemID="{87858B20-DDED-4F8C-827F-AB43C3DC2C4D}">
  <ds:schemaRefs/>
</ds:datastoreItem>
</file>

<file path=customXml/itemProps4.xml><?xml version="1.0" encoding="utf-8"?>
<ds:datastoreItem xmlns:ds="http://schemas.openxmlformats.org/officeDocument/2006/customXml" ds:itemID="{C05227E3-2C01-476B-AC98-4AF34B4CCD59}">
  <ds:schemaRefs/>
</ds:datastoreItem>
</file>

<file path=docProps/app.xml><?xml version="1.0" encoding="utf-8"?>
<Properties xmlns="http://schemas.openxmlformats.org/officeDocument/2006/extended-properties" xmlns:vt="http://schemas.openxmlformats.org/officeDocument/2006/docPropsVTypes">
  <Template>Normal</Template>
  <Company>S</Company>
  <Pages>1</Pages>
  <Words>12044</Words>
  <Characters>68654</Characters>
  <Lines>572</Lines>
  <Paragraphs>161</Paragraphs>
  <TotalTime>26</TotalTime>
  <ScaleCrop>false</ScaleCrop>
  <LinksUpToDate>false</LinksUpToDate>
  <CharactersWithSpaces>80537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2022-04-20T05:33:00Z</dcterms:created>
  <dc:creator>李嘉</dc:creator>
  <cp:lastModifiedBy>刘哿</cp:lastModifiedBy>
  <cp:lastPrinted>2015-12-29T05:25:00Z</cp:lastPrinted>
  <dcterms:modified xsi:type="dcterms:W3CDTF">2024-06-24T02:54:35Z</dcterms:modified>
  <dc:title>首创证券有限责任公司深圳吉华路证券营业部</dc:title>
  <cp:revision>932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0x010100AE01D7438F5BA747993366901ADFE358</vt:lpwstr>
  </property>
  <property fmtid="{D5CDD505-2E9C-101B-9397-08002B2CF9AE}" pid="3" name="KSOProductBuildVer">
    <vt:lpwstr>2052-11.8.2.11718</vt:lpwstr>
  </property>
  <property fmtid="{D5CDD505-2E9C-101B-9397-08002B2CF9AE}" pid="4" name="ICV">
    <vt:lpwstr>28D59F1CE1204862814AE26332D4D09B</vt:lpwstr>
  </property>
</Properties>
</file>