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aps w:val="0"/>
          <w:color w:val="000000"/>
          <w:spacing w:val="0"/>
          <w:sz w:val="32"/>
          <w:szCs w:val="32"/>
          <w:lang w:val="en-US" w:eastAsia="zh-CN"/>
        </w:rPr>
      </w:pPr>
      <w:r>
        <w:rPr>
          <w:rFonts w:hint="eastAsia" w:ascii="微软雅黑" w:hAnsi="微软雅黑" w:eastAsia="微软雅黑" w:cs="微软雅黑"/>
          <w:b/>
          <w:bCs/>
          <w:i w:val="0"/>
          <w:iCs w:val="0"/>
          <w:caps w:val="0"/>
          <w:color w:val="000000"/>
          <w:spacing w:val="0"/>
          <w:sz w:val="32"/>
          <w:szCs w:val="32"/>
          <w:lang w:val="en-US" w:eastAsia="zh-CN"/>
        </w:rPr>
        <w:t>相关法律依据和合同依据</w:t>
      </w:r>
    </w:p>
    <w:p>
      <w:pPr>
        <w:jc w:val="center"/>
        <w:rPr>
          <w:rFonts w:hint="eastAsia" w:ascii="微软雅黑" w:hAnsi="微软雅黑" w:eastAsia="微软雅黑" w:cs="微软雅黑"/>
          <w:b/>
          <w:bCs/>
          <w:i w:val="0"/>
          <w:iCs w:val="0"/>
          <w:caps w:val="0"/>
          <w:color w:val="000000"/>
          <w:spacing w:val="0"/>
          <w:sz w:val="32"/>
          <w:szCs w:val="32"/>
          <w:lang w:val="en-US" w:eastAsia="zh-CN"/>
        </w:rPr>
      </w:pPr>
      <w:bookmarkStart w:id="0" w:name="_GoBack"/>
    </w:p>
    <w:bookmarkEnd w:id="0"/>
    <w:p>
      <w:pPr>
        <w:numPr>
          <w:ilvl w:val="0"/>
          <w:numId w:val="1"/>
        </w:numPr>
        <w:rPr>
          <w:rFonts w:hint="eastAsia" w:ascii="微软雅黑" w:hAnsi="微软雅黑" w:eastAsia="微软雅黑" w:cs="微软雅黑"/>
          <w:b/>
          <w:bCs/>
          <w:i w:val="0"/>
          <w:iCs w:val="0"/>
          <w:caps w:val="0"/>
          <w:color w:val="000000"/>
          <w:spacing w:val="0"/>
          <w:sz w:val="28"/>
          <w:szCs w:val="28"/>
          <w:lang w:val="en-US" w:eastAsia="zh-CN"/>
        </w:rPr>
      </w:pPr>
      <w:r>
        <w:rPr>
          <w:rFonts w:hint="eastAsia" w:ascii="微软雅黑" w:hAnsi="微软雅黑" w:eastAsia="微软雅黑" w:cs="微软雅黑"/>
          <w:b/>
          <w:bCs/>
          <w:i w:val="0"/>
          <w:iCs w:val="0"/>
          <w:caps w:val="0"/>
          <w:color w:val="000000"/>
          <w:spacing w:val="0"/>
          <w:sz w:val="28"/>
          <w:szCs w:val="28"/>
          <w:lang w:val="en-US" w:eastAsia="zh-CN"/>
        </w:rPr>
        <w:t>《中国人民银行办公厅关于“三证合一"登记制度改革有关反洗钱工作管理事顶的通知》</w:t>
      </w:r>
      <w:r>
        <w:rPr>
          <w:rFonts w:hint="eastAsia" w:ascii="微软雅黑" w:hAnsi="微软雅黑" w:eastAsia="微软雅黑" w:cs="微软雅黑"/>
          <w:b w:val="0"/>
          <w:bCs w:val="0"/>
          <w:i w:val="0"/>
          <w:iCs w:val="0"/>
          <w:caps w:val="0"/>
          <w:color w:val="000000"/>
          <w:spacing w:val="0"/>
          <w:sz w:val="28"/>
          <w:szCs w:val="28"/>
          <w:lang w:val="en-US" w:eastAsia="zh-CN"/>
        </w:rPr>
        <w:t>（银办发（2016）110号，2016年4月22日发布实施）</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六、“三证合一”登记制度改革过渡期内，企业原发营业执照、组织机构代码证、税务登记证仍在有效期内的，金融机构仍应当按照《金融机构客户身份识别和客户身份资料及交易记录保存管理办法》（中国人民银行、中国银行业监督管理委员会、中国证券监督管理委员会、中国保险监督管理委员会令〔2007〕第2号发布）等相关规定执行。改革过渡期结束后，企业原发营业执照、组织机构代码证、税务登记证停止使用，金融机构应当提示企业及时更换新版营业执照，未在合理期限内更换且没有提出合理理由的，金融机构应当中止办理业务。</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b/>
          <w:bCs/>
          <w:i w:val="0"/>
          <w:iCs w:val="0"/>
          <w:caps w:val="0"/>
          <w:color w:val="000000"/>
          <w:spacing w:val="0"/>
          <w:sz w:val="28"/>
          <w:szCs w:val="28"/>
          <w:lang w:val="en-US" w:eastAsia="zh-CN"/>
        </w:rPr>
        <w:t>2.《工商总局等五部门关于贯彻落实&lt;国务院办公厅关于加快推进“五证合一”登记制度改革的通知&gt;的通知》</w:t>
      </w:r>
      <w:r>
        <w:rPr>
          <w:rFonts w:hint="eastAsia" w:ascii="微软雅黑" w:hAnsi="微软雅黑" w:eastAsia="微软雅黑" w:cs="微软雅黑"/>
          <w:i w:val="0"/>
          <w:iCs w:val="0"/>
          <w:caps w:val="0"/>
          <w:color w:val="000000"/>
          <w:spacing w:val="0"/>
          <w:sz w:val="28"/>
          <w:szCs w:val="28"/>
          <w:lang w:val="en-US" w:eastAsia="zh-CN"/>
        </w:rPr>
        <w:t>（工商企注字（2016）150号）</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第二条 2018年1月1日前，原发证照继续有效，过渡期结束后一律使用加载统一代码的营业执照，未换发的证照不再有效。</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b/>
          <w:bCs/>
          <w:i w:val="0"/>
          <w:iCs w:val="0"/>
          <w:caps w:val="0"/>
          <w:color w:val="000000"/>
          <w:spacing w:val="0"/>
          <w:sz w:val="28"/>
          <w:szCs w:val="28"/>
          <w:lang w:val="en-US" w:eastAsia="zh-CN"/>
        </w:rPr>
        <w:t>3.《证券经纪业务管理办法》</w:t>
      </w:r>
      <w:r>
        <w:rPr>
          <w:rFonts w:hint="eastAsia" w:ascii="微软雅黑" w:hAnsi="微软雅黑" w:eastAsia="微软雅黑" w:cs="微软雅黑"/>
          <w:i w:val="0"/>
          <w:iCs w:val="0"/>
          <w:caps w:val="0"/>
          <w:color w:val="000000"/>
          <w:spacing w:val="0"/>
          <w:sz w:val="28"/>
          <w:szCs w:val="28"/>
          <w:lang w:val="en-US" w:eastAsia="zh-CN"/>
        </w:rPr>
        <w:t>（中国证券监督管理委员会第204号，2023年2月28日起实施）</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第二十五条 证券公司发现投资者存在非实名使用账户、不适合继续参与相关交易、资金使用与交易行为异常等情况的，或者拒绝配合证券公司工作的，应当及时采取相应的管理措施，必要时根据相关规定及证券交易委托代理协议的约定限制、暂停、终止提供证券交易服务，并按照规定履行报告义务。</w:t>
      </w:r>
    </w:p>
    <w:p>
      <w:pPr>
        <w:numPr>
          <w:ilvl w:val="0"/>
          <w:numId w:val="2"/>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b/>
          <w:bCs/>
          <w:i w:val="0"/>
          <w:iCs w:val="0"/>
          <w:caps w:val="0"/>
          <w:color w:val="000000"/>
          <w:spacing w:val="0"/>
          <w:sz w:val="28"/>
          <w:szCs w:val="28"/>
          <w:lang w:val="en-US" w:eastAsia="zh-CN"/>
        </w:rPr>
        <w:t>《客户账户开户协议》</w:t>
      </w:r>
      <w:r>
        <w:rPr>
          <w:rFonts w:hint="eastAsia" w:ascii="微软雅黑" w:hAnsi="微软雅黑" w:eastAsia="微软雅黑" w:cs="微软雅黑"/>
          <w:i w:val="0"/>
          <w:iCs w:val="0"/>
          <w:caps w:val="0"/>
          <w:color w:val="000000"/>
          <w:spacing w:val="0"/>
          <w:sz w:val="28"/>
          <w:szCs w:val="28"/>
          <w:lang w:val="en-US" w:eastAsia="zh-CN"/>
        </w:rPr>
        <w:t>（首创证券2024年6月24日公告发布）</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第二十三条  甲方有下列情形的，乙方有权对甲方账户采取限制措施，由此造成的任何后果、风险和损失，均由甲方自行承担：</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一）甲方有下列情形之一的，乙方有权对甲方账户采取禁止买入、禁止卖出、禁止存款、禁止取款、禁止撤指定、禁止转托管、禁止开展新业务、禁止认购、禁止申购、禁止转换转入、禁止定投的措施，必要时采取暂停或终止提供证券交易服务等措施：</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1. 甲方已开立的账户为匿名、假名账户，客户身份不明的，经证实冒用他人身份开立账户的，包括但不限于自然人证件信息与联网核查公民身份信息系统比对不一致、法人及非法人组织证件信息与企业信用信息公示系统比对不一致、金融产品证件信息与备案网站信息不一致等情形；</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2. 乙方发现自然人客户死亡、法人及非法人组织依法被解散或破产清算、金融产品到期或其他终止等情形；</w:t>
      </w:r>
    </w:p>
    <w:p>
      <w:pPr>
        <w:numPr>
          <w:ilvl w:val="0"/>
          <w:numId w:val="0"/>
        </w:numPr>
        <w:rPr>
          <w:rFonts w:hint="eastAsia" w:ascii="微软雅黑" w:hAnsi="微软雅黑" w:eastAsia="微软雅黑" w:cs="微软雅黑"/>
          <w:i w:val="0"/>
          <w:iCs w:val="0"/>
          <w:caps w:val="0"/>
          <w:color w:val="000000"/>
          <w:spacing w:val="0"/>
          <w:sz w:val="28"/>
          <w:szCs w:val="28"/>
          <w:lang w:val="en-US" w:eastAsia="zh-CN"/>
        </w:rPr>
      </w:pPr>
      <w:r>
        <w:rPr>
          <w:rFonts w:hint="eastAsia" w:ascii="微软雅黑" w:hAnsi="微软雅黑" w:eastAsia="微软雅黑" w:cs="微软雅黑"/>
          <w:i w:val="0"/>
          <w:iCs w:val="0"/>
          <w:caps w:val="0"/>
          <w:color w:val="000000"/>
          <w:spacing w:val="0"/>
          <w:sz w:val="28"/>
          <w:szCs w:val="28"/>
          <w:lang w:val="en-US" w:eastAsia="zh-CN"/>
        </w:rPr>
        <w:t>3. 甲方为个人客户时主要身份证明文件为“十五位”一代身份证，甲方为机构及产品客户时主要身份证明文件为未进行“三证合一”的原发营业执照、组织机构代码证、税务登记证等情形的。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918F9F"/>
    <w:multiLevelType w:val="singleLevel"/>
    <w:tmpl w:val="D6918F9F"/>
    <w:lvl w:ilvl="0" w:tentative="0">
      <w:start w:val="4"/>
      <w:numFmt w:val="decimal"/>
      <w:lvlText w:val="%1."/>
      <w:lvlJc w:val="left"/>
      <w:pPr>
        <w:tabs>
          <w:tab w:val="left" w:pos="312"/>
        </w:tabs>
      </w:pPr>
    </w:lvl>
  </w:abstractNum>
  <w:abstractNum w:abstractNumId="1">
    <w:nsid w:val="4AF67B3A"/>
    <w:multiLevelType w:val="singleLevel"/>
    <w:tmpl w:val="4AF67B3A"/>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93496F"/>
    <w:rsid w:val="1FB50B29"/>
    <w:rsid w:val="2593496F"/>
    <w:rsid w:val="494F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2024-07-25T01:08:00Z</dcterms:created>
  <dc:creator>刘哿</dc:creator>
  <cp:lastModifiedBy>刘哿</cp:lastModifiedBy>
  <dcterms:modified xsi:type="dcterms:W3CDTF">2024-07-25T01:42:26Z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A08FC2B8BA3B4931A243A6914AF5B509</vt:lpwstr>
  </property>
</Properties>
</file>